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733" w:type="dxa"/>
        <w:tblInd w:w="103" w:type="dxa"/>
        <w:tblLook w:val="04A0"/>
      </w:tblPr>
      <w:tblGrid>
        <w:gridCol w:w="1733"/>
        <w:gridCol w:w="1511"/>
        <w:gridCol w:w="10319"/>
        <w:gridCol w:w="2170"/>
      </w:tblGrid>
      <w:tr w:rsidR="001E2BAE" w:rsidRPr="00DB139A" w:rsidTr="00DB139A">
        <w:trPr>
          <w:trHeight w:val="1500"/>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b/>
                <w:bCs/>
                <w:sz w:val="20"/>
                <w:szCs w:val="20"/>
              </w:rPr>
            </w:pPr>
            <w:r w:rsidRPr="00DB139A">
              <w:rPr>
                <w:rFonts w:eastAsia="Times New Roman" w:cs="Times New Roman"/>
                <w:b/>
                <w:bCs/>
                <w:sz w:val="20"/>
                <w:szCs w:val="20"/>
              </w:rPr>
              <w:t>Вид актива</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jc w:val="center"/>
              <w:rPr>
                <w:rFonts w:eastAsia="Times New Roman" w:cs="Times New Roman"/>
                <w:b/>
                <w:bCs/>
                <w:sz w:val="20"/>
                <w:szCs w:val="20"/>
              </w:rPr>
            </w:pPr>
            <w:r w:rsidRPr="00DB139A">
              <w:rPr>
                <w:rFonts w:eastAsia="Times New Roman" w:cs="Times New Roman"/>
                <w:b/>
                <w:bCs/>
                <w:sz w:val="20"/>
                <w:szCs w:val="20"/>
              </w:rPr>
              <w:t>Уровень определения справедливой стоимости</w:t>
            </w:r>
          </w:p>
        </w:tc>
        <w:tc>
          <w:tcPr>
            <w:tcW w:w="10219" w:type="dxa"/>
            <w:tcBorders>
              <w:top w:val="single" w:sz="4" w:space="0" w:color="auto"/>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b/>
                <w:bCs/>
                <w:sz w:val="20"/>
                <w:szCs w:val="20"/>
              </w:rPr>
            </w:pPr>
            <w:r w:rsidRPr="00DB139A">
              <w:rPr>
                <w:rFonts w:eastAsia="Times New Roman" w:cs="Times New Roman"/>
                <w:b/>
                <w:bCs/>
                <w:sz w:val="20"/>
                <w:szCs w:val="20"/>
              </w:rPr>
              <w:t> </w:t>
            </w:r>
          </w:p>
        </w:tc>
        <w:tc>
          <w:tcPr>
            <w:tcW w:w="2261" w:type="dxa"/>
            <w:tcBorders>
              <w:top w:val="single" w:sz="4" w:space="0" w:color="auto"/>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b/>
                <w:bCs/>
                <w:sz w:val="20"/>
                <w:szCs w:val="20"/>
              </w:rPr>
            </w:pPr>
            <w:r w:rsidRPr="00DB139A">
              <w:rPr>
                <w:rFonts w:eastAsia="Times New Roman" w:cs="Times New Roman"/>
                <w:b/>
                <w:bCs/>
                <w:sz w:val="20"/>
                <w:szCs w:val="20"/>
              </w:rPr>
              <w:t> </w:t>
            </w:r>
          </w:p>
        </w:tc>
      </w:tr>
      <w:tr w:rsidR="001E2BAE" w:rsidRPr="00DB139A" w:rsidTr="00DB139A">
        <w:trPr>
          <w:trHeight w:val="255"/>
        </w:trPr>
        <w:tc>
          <w:tcPr>
            <w:tcW w:w="1733" w:type="dxa"/>
            <w:tcBorders>
              <w:top w:val="nil"/>
              <w:left w:val="single" w:sz="4" w:space="0" w:color="auto"/>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b/>
                <w:bCs/>
                <w:sz w:val="20"/>
                <w:szCs w:val="20"/>
              </w:rPr>
            </w:pPr>
            <w:r w:rsidRPr="00DB139A">
              <w:rPr>
                <w:rFonts w:eastAsia="Times New Roman" w:cs="Times New Roman"/>
                <w:b/>
                <w:bCs/>
                <w:sz w:val="20"/>
                <w:szCs w:val="20"/>
              </w:rPr>
              <w:t> </w:t>
            </w:r>
          </w:p>
        </w:tc>
        <w:tc>
          <w:tcPr>
            <w:tcW w:w="1520"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jc w:val="center"/>
              <w:rPr>
                <w:rFonts w:eastAsia="Times New Roman" w:cs="Times New Roman"/>
                <w:b/>
                <w:bCs/>
                <w:sz w:val="20"/>
                <w:szCs w:val="20"/>
              </w:rPr>
            </w:pPr>
            <w:r w:rsidRPr="00DB139A">
              <w:rPr>
                <w:rFonts w:eastAsia="Times New Roman" w:cs="Times New Roman"/>
                <w:b/>
                <w:bCs/>
                <w:sz w:val="20"/>
                <w:szCs w:val="20"/>
              </w:rPr>
              <w:t> </w:t>
            </w:r>
          </w:p>
        </w:tc>
        <w:tc>
          <w:tcPr>
            <w:tcW w:w="10219"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b/>
                <w:bCs/>
                <w:sz w:val="20"/>
                <w:szCs w:val="20"/>
              </w:rPr>
            </w:pPr>
            <w:r w:rsidRPr="00DB139A">
              <w:rPr>
                <w:rFonts w:eastAsia="Times New Roman" w:cs="Times New Roman"/>
                <w:b/>
                <w:bCs/>
                <w:sz w:val="20"/>
                <w:szCs w:val="20"/>
              </w:rPr>
              <w:t>Торгуемый</w:t>
            </w:r>
          </w:p>
        </w:tc>
        <w:tc>
          <w:tcPr>
            <w:tcW w:w="2261"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b/>
                <w:bCs/>
                <w:sz w:val="20"/>
                <w:szCs w:val="20"/>
              </w:rPr>
            </w:pPr>
            <w:r w:rsidRPr="00DB139A">
              <w:rPr>
                <w:rFonts w:eastAsia="Times New Roman" w:cs="Times New Roman"/>
                <w:b/>
                <w:bCs/>
                <w:sz w:val="20"/>
                <w:szCs w:val="20"/>
              </w:rPr>
              <w:t>Неторгуемый</w:t>
            </w:r>
          </w:p>
        </w:tc>
      </w:tr>
      <w:tr w:rsidR="001E2BAE" w:rsidRPr="00DB139A" w:rsidTr="00DB139A">
        <w:trPr>
          <w:trHeight w:val="2595"/>
        </w:trPr>
        <w:tc>
          <w:tcPr>
            <w:tcW w:w="1733" w:type="dxa"/>
            <w:vMerge w:val="restart"/>
            <w:tcBorders>
              <w:top w:val="nil"/>
              <w:left w:val="single" w:sz="4" w:space="0" w:color="auto"/>
              <w:bottom w:val="nil"/>
              <w:right w:val="single" w:sz="4" w:space="0" w:color="auto"/>
            </w:tcBorders>
            <w:shd w:val="clear" w:color="auto" w:fill="auto"/>
            <w:vAlign w:val="center"/>
            <w:hideMark/>
          </w:tcPr>
          <w:p w:rsidR="001E2BAE" w:rsidRPr="00DB139A" w:rsidRDefault="001E2BAE" w:rsidP="001E2BAE">
            <w:pPr>
              <w:spacing w:after="0" w:line="240" w:lineRule="auto"/>
              <w:jc w:val="center"/>
              <w:rPr>
                <w:rFonts w:eastAsia="Times New Roman" w:cs="Times New Roman"/>
                <w:sz w:val="20"/>
                <w:szCs w:val="20"/>
              </w:rPr>
            </w:pPr>
            <w:r w:rsidRPr="00DB139A">
              <w:rPr>
                <w:rFonts w:eastAsia="Times New Roman" w:cs="Times New Roman"/>
                <w:sz w:val="20"/>
                <w:szCs w:val="20"/>
              </w:rPr>
              <w:t xml:space="preserve">Ценные бумаги российских эмитентов </w:t>
            </w:r>
          </w:p>
        </w:tc>
        <w:tc>
          <w:tcPr>
            <w:tcW w:w="1520" w:type="dxa"/>
            <w:vMerge w:val="restart"/>
            <w:tcBorders>
              <w:top w:val="nil"/>
              <w:left w:val="single" w:sz="4" w:space="0" w:color="auto"/>
              <w:bottom w:val="single" w:sz="4" w:space="0" w:color="000000"/>
              <w:right w:val="single" w:sz="4" w:space="0" w:color="auto"/>
            </w:tcBorders>
            <w:shd w:val="clear" w:color="auto" w:fill="auto"/>
            <w:vAlign w:val="center"/>
            <w:hideMark/>
          </w:tcPr>
          <w:p w:rsidR="001E2BAE" w:rsidRPr="00DB139A" w:rsidRDefault="001E2BAE" w:rsidP="001E2BAE">
            <w:pPr>
              <w:spacing w:after="0" w:line="240" w:lineRule="auto"/>
              <w:jc w:val="center"/>
              <w:rPr>
                <w:rFonts w:eastAsia="Times New Roman" w:cs="Times New Roman"/>
                <w:sz w:val="20"/>
                <w:szCs w:val="20"/>
              </w:rPr>
            </w:pPr>
            <w:r w:rsidRPr="00DB139A">
              <w:rPr>
                <w:rFonts w:eastAsia="Times New Roman" w:cs="Times New Roman"/>
                <w:sz w:val="20"/>
                <w:szCs w:val="20"/>
              </w:rPr>
              <w:t>1 уровень</w:t>
            </w:r>
          </w:p>
        </w:tc>
        <w:tc>
          <w:tcPr>
            <w:tcW w:w="10219" w:type="dxa"/>
            <w:vMerge w:val="restart"/>
            <w:tcBorders>
              <w:top w:val="nil"/>
              <w:left w:val="single" w:sz="4" w:space="0" w:color="auto"/>
              <w:bottom w:val="single" w:sz="4" w:space="0" w:color="000000"/>
              <w:right w:val="single" w:sz="4" w:space="0" w:color="auto"/>
            </w:tcBorders>
            <w:shd w:val="clear" w:color="auto" w:fill="auto"/>
            <w:hideMark/>
          </w:tcPr>
          <w:p w:rsidR="00471CEC" w:rsidRPr="00DB139A" w:rsidRDefault="001E2BAE" w:rsidP="00DB139A">
            <w:pPr>
              <w:spacing w:after="0" w:line="240" w:lineRule="auto"/>
              <w:rPr>
                <w:rFonts w:eastAsia="Times New Roman" w:cs="Times New Roman"/>
                <w:color w:val="17375D"/>
                <w:sz w:val="20"/>
                <w:szCs w:val="20"/>
              </w:rPr>
            </w:pPr>
            <w:bookmarkStart w:id="0" w:name="RANGE!C3"/>
            <w:r w:rsidRPr="00DB139A">
              <w:rPr>
                <w:rFonts w:eastAsia="Times New Roman" w:cs="Times New Roman"/>
                <w:sz w:val="20"/>
                <w:szCs w:val="20"/>
              </w:rPr>
              <w:t xml:space="preserve">Вариант 1: Для определения справедливой стоимости, используются цены основного рынка  </w:t>
            </w:r>
            <w:r w:rsidRPr="00DB139A">
              <w:rPr>
                <w:rFonts w:eastAsia="Times New Roman" w:cs="Times New Roman"/>
                <w:color w:val="FF0000"/>
                <w:sz w:val="20"/>
                <w:szCs w:val="20"/>
              </w:rPr>
              <w:t xml:space="preserve"> за последний торговый день</w:t>
            </w:r>
            <w:r w:rsidRPr="00DB139A">
              <w:rPr>
                <w:rFonts w:eastAsia="Times New Roman" w:cs="Times New Roman"/>
                <w:sz w:val="20"/>
                <w:szCs w:val="20"/>
              </w:rPr>
              <w:t xml:space="preserve"> (из числа активных  российских бирж), выбранные в следующем порядке (убывания приоритета):</w:t>
            </w:r>
            <w:r w:rsidRPr="00DB139A">
              <w:rPr>
                <w:rFonts w:eastAsia="Times New Roman" w:cs="Times New Roman"/>
                <w:sz w:val="20"/>
                <w:szCs w:val="20"/>
              </w:rPr>
              <w:br/>
              <w:t xml:space="preserve">a) цена спроса (bid) на момент окончания торговой сессии российской биржи на дату определения СЧА при условии подтверждения ее корректности; </w:t>
            </w:r>
            <w:r w:rsidR="007E264A" w:rsidRPr="00DB139A">
              <w:rPr>
                <w:rFonts w:eastAsia="Times New Roman" w:cs="Times New Roman"/>
                <w:color w:val="FF0000"/>
                <w:sz w:val="20"/>
                <w:szCs w:val="20"/>
              </w:rPr>
              <w:t xml:space="preserve">Цена спроса, определенная на дату определения СЧА, признается корректной, если она находится в интервале между минимальной и максимальной ценами сделок на эту же дату этой же биржи;  </w:t>
            </w:r>
            <w:r w:rsidRPr="00DB139A">
              <w:rPr>
                <w:rFonts w:eastAsia="Times New Roman" w:cs="Times New Roman"/>
                <w:sz w:val="20"/>
                <w:szCs w:val="20"/>
              </w:rPr>
              <w:br/>
              <w:t>b) средневзвешенная цена на момент окончания торговой сессии российской биржи на дату определения СЧА,</w:t>
            </w:r>
            <w:r w:rsidRPr="00DB139A">
              <w:rPr>
                <w:rFonts w:eastAsia="Times New Roman" w:cs="Times New Roman"/>
                <w:color w:val="17375D"/>
                <w:sz w:val="20"/>
                <w:szCs w:val="20"/>
              </w:rPr>
              <w:t xml:space="preserve"> </w:t>
            </w:r>
            <w:r w:rsidR="00471CEC" w:rsidRPr="00DB139A">
              <w:rPr>
                <w:rFonts w:eastAsia="Times New Roman" w:cs="Times New Roman"/>
                <w:color w:val="17375D"/>
                <w:sz w:val="20"/>
                <w:szCs w:val="20"/>
              </w:rPr>
              <w:t>при условии, что данная цена находится в пределах спрэда по спросу и предложению на указанную дату;</w:t>
            </w:r>
          </w:p>
          <w:p w:rsidR="001E2BAE" w:rsidRPr="00DB139A" w:rsidRDefault="001E2BAE" w:rsidP="00DB139A">
            <w:pPr>
              <w:spacing w:after="0" w:line="240" w:lineRule="auto"/>
              <w:rPr>
                <w:rFonts w:eastAsia="Times New Roman" w:cs="Times New Roman"/>
                <w:sz w:val="20"/>
                <w:szCs w:val="20"/>
              </w:rPr>
            </w:pPr>
            <w:r w:rsidRPr="00DB139A">
              <w:rPr>
                <w:rFonts w:eastAsia="Times New Roman" w:cs="Times New Roman"/>
                <w:sz w:val="20"/>
                <w:szCs w:val="20"/>
              </w:rPr>
              <w:t>с) цена закрытия на момент окончания торговой сессии российской биржи на дату определения СЧА при условии подтверждения ее корректности;Цена закрытия признается корректной, если раскрыты данные об объеме торгов за день и объем торгов не равен нулюс проверкой (CLOSE)&lt;&gt;0</w:t>
            </w:r>
            <w:r w:rsidRPr="00DB139A">
              <w:rPr>
                <w:rFonts w:eastAsia="Times New Roman" w:cs="Times New Roman"/>
                <w:sz w:val="20"/>
                <w:szCs w:val="20"/>
              </w:rPr>
              <w:br/>
              <w:t>Иной приоритет определения справедливой стоимости может быть установлен в Правилах определения СЧА .</w:t>
            </w:r>
            <w:bookmarkEnd w:id="0"/>
          </w:p>
        </w:tc>
        <w:tc>
          <w:tcPr>
            <w:tcW w:w="2261"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отсутствует</w:t>
            </w:r>
          </w:p>
        </w:tc>
      </w:tr>
      <w:tr w:rsidR="001E2BAE" w:rsidRPr="00DB139A" w:rsidTr="00DB139A">
        <w:trPr>
          <w:trHeight w:val="1420"/>
        </w:trPr>
        <w:tc>
          <w:tcPr>
            <w:tcW w:w="1733" w:type="dxa"/>
            <w:vMerge/>
            <w:tcBorders>
              <w:top w:val="nil"/>
              <w:left w:val="single" w:sz="4" w:space="0" w:color="auto"/>
              <w:bottom w:val="nil"/>
              <w:right w:val="single" w:sz="4" w:space="0" w:color="auto"/>
            </w:tcBorders>
            <w:vAlign w:val="center"/>
            <w:hideMark/>
          </w:tcPr>
          <w:p w:rsidR="001E2BAE" w:rsidRPr="00DB139A" w:rsidRDefault="001E2BAE" w:rsidP="001E2BAE">
            <w:pPr>
              <w:spacing w:after="0" w:line="240" w:lineRule="auto"/>
              <w:rPr>
                <w:rFonts w:eastAsia="Times New Roman" w:cs="Times New Roman"/>
                <w:sz w:val="20"/>
                <w:szCs w:val="20"/>
              </w:rPr>
            </w:pPr>
          </w:p>
        </w:tc>
        <w:tc>
          <w:tcPr>
            <w:tcW w:w="1520" w:type="dxa"/>
            <w:vMerge/>
            <w:tcBorders>
              <w:top w:val="nil"/>
              <w:left w:val="single" w:sz="4" w:space="0" w:color="auto"/>
              <w:bottom w:val="single" w:sz="4" w:space="0" w:color="000000"/>
              <w:right w:val="single" w:sz="4" w:space="0" w:color="auto"/>
            </w:tcBorders>
            <w:vAlign w:val="center"/>
            <w:hideMark/>
          </w:tcPr>
          <w:p w:rsidR="001E2BAE" w:rsidRPr="00DB139A" w:rsidRDefault="001E2BAE" w:rsidP="001E2BAE">
            <w:pPr>
              <w:spacing w:after="0" w:line="240" w:lineRule="auto"/>
              <w:rPr>
                <w:rFonts w:eastAsia="Times New Roman" w:cs="Times New Roman"/>
                <w:sz w:val="20"/>
                <w:szCs w:val="20"/>
              </w:rPr>
            </w:pPr>
          </w:p>
        </w:tc>
        <w:tc>
          <w:tcPr>
            <w:tcW w:w="10219" w:type="dxa"/>
            <w:vMerge/>
            <w:tcBorders>
              <w:top w:val="nil"/>
              <w:left w:val="single" w:sz="4" w:space="0" w:color="auto"/>
              <w:bottom w:val="single" w:sz="4" w:space="0" w:color="000000"/>
              <w:right w:val="single" w:sz="4" w:space="0" w:color="auto"/>
            </w:tcBorders>
            <w:hideMark/>
          </w:tcPr>
          <w:p w:rsidR="001E2BAE" w:rsidRPr="00DB139A" w:rsidRDefault="001E2BAE" w:rsidP="00DB139A">
            <w:pPr>
              <w:spacing w:after="0" w:line="240" w:lineRule="auto"/>
              <w:rPr>
                <w:rFonts w:eastAsia="Times New Roman" w:cs="Times New Roman"/>
                <w:sz w:val="20"/>
                <w:szCs w:val="20"/>
              </w:rPr>
            </w:pPr>
          </w:p>
        </w:tc>
        <w:tc>
          <w:tcPr>
            <w:tcW w:w="2261"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 </w:t>
            </w:r>
          </w:p>
        </w:tc>
      </w:tr>
      <w:tr w:rsidR="001E2BAE" w:rsidRPr="00DB139A" w:rsidTr="00DB139A">
        <w:trPr>
          <w:trHeight w:val="255"/>
        </w:trPr>
        <w:tc>
          <w:tcPr>
            <w:tcW w:w="1733" w:type="dxa"/>
            <w:vMerge/>
            <w:tcBorders>
              <w:top w:val="nil"/>
              <w:left w:val="single" w:sz="4" w:space="0" w:color="auto"/>
              <w:bottom w:val="nil"/>
              <w:right w:val="single" w:sz="4" w:space="0" w:color="auto"/>
            </w:tcBorders>
            <w:vAlign w:val="center"/>
            <w:hideMark/>
          </w:tcPr>
          <w:p w:rsidR="001E2BAE" w:rsidRPr="00DB139A" w:rsidRDefault="001E2BAE" w:rsidP="001E2BAE">
            <w:pPr>
              <w:spacing w:after="0" w:line="240" w:lineRule="auto"/>
              <w:rPr>
                <w:rFonts w:eastAsia="Times New Roman" w:cs="Times New Roman"/>
                <w:sz w:val="20"/>
                <w:szCs w:val="20"/>
              </w:rPr>
            </w:pPr>
          </w:p>
        </w:tc>
        <w:tc>
          <w:tcPr>
            <w:tcW w:w="1520" w:type="dxa"/>
            <w:vMerge w:val="restart"/>
            <w:tcBorders>
              <w:top w:val="nil"/>
              <w:left w:val="single" w:sz="4" w:space="0" w:color="auto"/>
              <w:bottom w:val="nil"/>
              <w:right w:val="single" w:sz="4" w:space="0" w:color="auto"/>
            </w:tcBorders>
            <w:shd w:val="clear" w:color="auto" w:fill="auto"/>
            <w:vAlign w:val="center"/>
            <w:hideMark/>
          </w:tcPr>
          <w:p w:rsidR="001E2BAE" w:rsidRPr="00DB139A" w:rsidRDefault="001E2BAE" w:rsidP="001E2BAE">
            <w:pPr>
              <w:spacing w:after="0" w:line="240" w:lineRule="auto"/>
              <w:jc w:val="center"/>
              <w:rPr>
                <w:rFonts w:eastAsia="Times New Roman" w:cs="Times New Roman"/>
                <w:sz w:val="20"/>
                <w:szCs w:val="20"/>
              </w:rPr>
            </w:pPr>
            <w:r w:rsidRPr="00DB139A">
              <w:rPr>
                <w:rFonts w:eastAsia="Times New Roman" w:cs="Times New Roman"/>
                <w:sz w:val="20"/>
                <w:szCs w:val="20"/>
              </w:rPr>
              <w:t xml:space="preserve">2 уровень </w:t>
            </w:r>
          </w:p>
        </w:tc>
        <w:tc>
          <w:tcPr>
            <w:tcW w:w="10219" w:type="dxa"/>
            <w:vMerge w:val="restart"/>
            <w:tcBorders>
              <w:top w:val="nil"/>
              <w:left w:val="single" w:sz="4" w:space="0" w:color="auto"/>
              <w:bottom w:val="single" w:sz="4" w:space="0" w:color="000000"/>
              <w:right w:val="single" w:sz="4" w:space="0" w:color="auto"/>
            </w:tcBorders>
            <w:shd w:val="clear" w:color="auto" w:fill="auto"/>
            <w:hideMark/>
          </w:tcPr>
          <w:p w:rsidR="00A70281" w:rsidRPr="00DB139A" w:rsidRDefault="001E2BAE" w:rsidP="00DB139A">
            <w:pPr>
              <w:spacing w:after="0" w:line="240" w:lineRule="auto"/>
              <w:rPr>
                <w:rFonts w:eastAsia="Times New Roman" w:cs="Times New Roman"/>
                <w:sz w:val="20"/>
                <w:szCs w:val="20"/>
              </w:rPr>
            </w:pPr>
            <w:r w:rsidRPr="00DB139A">
              <w:rPr>
                <w:rFonts w:eastAsia="Times New Roman" w:cs="Times New Roman"/>
                <w:b/>
                <w:bCs/>
                <w:sz w:val="20"/>
                <w:szCs w:val="20"/>
              </w:rPr>
              <w:t>Для акций российских эмитентов в порядке убывания приоритета:</w:t>
            </w:r>
            <w:r w:rsidRPr="00DB139A">
              <w:rPr>
                <w:rFonts w:eastAsia="Times New Roman" w:cs="Times New Roman"/>
                <w:sz w:val="20"/>
                <w:szCs w:val="20"/>
              </w:rPr>
              <w:br/>
            </w:r>
            <w:r w:rsidRPr="00DB139A">
              <w:rPr>
                <w:rFonts w:eastAsia="Times New Roman" w:cs="Times New Roman"/>
                <w:b/>
                <w:bCs/>
                <w:sz w:val="20"/>
                <w:szCs w:val="20"/>
              </w:rPr>
              <w:t xml:space="preserve">Вариант 1. Справедливая стоимость акций, обращающихся на российских и иностранных фондовых биржах, определяется в соответствии с моделью оценки, основанной на корректировке исторической цены. </w:t>
            </w:r>
            <w:r w:rsidRPr="00DB139A">
              <w:rPr>
                <w:rFonts w:eastAsia="Times New Roman" w:cs="Times New Roman"/>
                <w:sz w:val="20"/>
                <w:szCs w:val="20"/>
              </w:rPr>
              <w:t>Данная корректировка применяется в случае отсутствия наблюдаемой цены в течение не более десяти рабочих дней. (далее 3 уровень) Для целей оценки справедливой стоимости используется сравнение динамики (доходности за определенный промежуток времени) анализируемого финансового инструмента с динамикой рыночных индикаторов. В качестве рыночных индикаторов могут использоваться:</w:t>
            </w:r>
            <w:r w:rsidRPr="00DB139A">
              <w:rPr>
                <w:rFonts w:eastAsia="Times New Roman" w:cs="Times New Roman"/>
                <w:sz w:val="20"/>
                <w:szCs w:val="20"/>
              </w:rPr>
              <w:br/>
            </w:r>
            <w:r w:rsidRPr="00DB139A">
              <w:rPr>
                <w:rFonts w:eastAsia="Times New Roman" w:cs="Times New Roman"/>
                <w:sz w:val="20"/>
                <w:szCs w:val="20"/>
              </w:rPr>
              <w:lastRenderedPageBreak/>
              <w:t>- индексы акций широкого рынка (основные индексы), такие как</w:t>
            </w:r>
            <w:r w:rsidRPr="00DB139A">
              <w:rPr>
                <w:rFonts w:eastAsia="Times New Roman" w:cs="Times New Roman"/>
                <w:color w:val="FF0000"/>
                <w:sz w:val="20"/>
                <w:szCs w:val="20"/>
              </w:rPr>
              <w:t xml:space="preserve"> Индекс Московской биржи</w:t>
            </w:r>
            <w:r w:rsidRPr="00DB139A">
              <w:rPr>
                <w:rFonts w:eastAsia="Times New Roman" w:cs="Times New Roman"/>
                <w:sz w:val="20"/>
                <w:szCs w:val="20"/>
              </w:rPr>
              <w:t xml:space="preserve">, РТС, MSCI, S&amp;P500, DJIA и другие; </w:t>
            </w:r>
          </w:p>
          <w:p w:rsidR="00A70281" w:rsidRPr="00DB139A" w:rsidRDefault="001E2BAE" w:rsidP="00DB139A">
            <w:pPr>
              <w:spacing w:after="0" w:line="240" w:lineRule="auto"/>
              <w:rPr>
                <w:rFonts w:eastAsia="Times New Roman" w:cs="Times New Roman"/>
                <w:color w:val="FF0000"/>
                <w:sz w:val="20"/>
                <w:szCs w:val="20"/>
              </w:rPr>
            </w:pPr>
            <w:r w:rsidRPr="00DB139A">
              <w:rPr>
                <w:rFonts w:eastAsia="Times New Roman" w:cs="Times New Roman"/>
                <w:sz w:val="20"/>
                <w:szCs w:val="20"/>
              </w:rPr>
              <w:t>- капитализационные индексы акций (высокой, средней и низкой капитализации);</w:t>
            </w:r>
            <w:r w:rsidRPr="00DB139A">
              <w:rPr>
                <w:rFonts w:eastAsia="Times New Roman" w:cs="Times New Roman"/>
                <w:sz w:val="20"/>
                <w:szCs w:val="20"/>
              </w:rPr>
              <w:br/>
              <w:t>- отраслевые индексы.</w:t>
            </w:r>
            <w:r w:rsidRPr="00DB139A">
              <w:rPr>
                <w:rFonts w:eastAsia="Times New Roman" w:cs="Times New Roman"/>
                <w:sz w:val="20"/>
                <w:szCs w:val="20"/>
              </w:rPr>
              <w:br/>
              <w:t>При выборе индекса преимущество отдается индексу, рассчитываемому организатором торгов, на котором обращается ценная бумага. По депозитарным распискам возможно использование рыночных индикаторов в отношении базовых активов</w:t>
            </w:r>
            <w:r w:rsidR="008F45A0" w:rsidRPr="00DB139A">
              <w:rPr>
                <w:rFonts w:eastAsia="Times New Roman" w:cs="Times New Roman"/>
                <w:sz w:val="20"/>
                <w:szCs w:val="20"/>
              </w:rPr>
              <w:t xml:space="preserve">, </w:t>
            </w:r>
            <w:r w:rsidR="008F45A0" w:rsidRPr="00DB139A">
              <w:rPr>
                <w:rFonts w:eastAsia="Times New Roman" w:cs="Times New Roman"/>
                <w:color w:val="FF0000"/>
                <w:sz w:val="20"/>
                <w:szCs w:val="20"/>
              </w:rPr>
              <w:t xml:space="preserve">также следует выбирать индекс с учетом странового риска инструмента. </w:t>
            </w:r>
          </w:p>
          <w:p w:rsidR="00A70281" w:rsidRPr="00DB139A" w:rsidRDefault="00A70281" w:rsidP="00DB139A">
            <w:pPr>
              <w:spacing w:after="0" w:line="240" w:lineRule="auto"/>
              <w:rPr>
                <w:rFonts w:eastAsia="Times New Roman" w:cs="Times New Roman"/>
                <w:color w:val="FF0000"/>
                <w:sz w:val="20"/>
                <w:szCs w:val="20"/>
              </w:rPr>
            </w:pPr>
            <w:r w:rsidRPr="00DB139A">
              <w:rPr>
                <w:rFonts w:eastAsia="Times New Roman" w:cs="Times New Roman"/>
                <w:color w:val="FF0000"/>
                <w:sz w:val="20"/>
                <w:szCs w:val="20"/>
              </w:rPr>
              <w:t>Таблица выбора соответствующего индекса</w:t>
            </w:r>
            <w:r w:rsidR="00B34455" w:rsidRPr="00DB139A">
              <w:rPr>
                <w:rFonts w:eastAsia="Times New Roman" w:cs="Times New Roman"/>
                <w:color w:val="FF0000"/>
                <w:sz w:val="20"/>
                <w:szCs w:val="20"/>
              </w:rPr>
              <w:t xml:space="preserve"> устанавливается в Правилах определения СЧА </w:t>
            </w:r>
            <w:r w:rsidR="001E2BAE" w:rsidRPr="00DB139A">
              <w:rPr>
                <w:rFonts w:eastAsia="Times New Roman" w:cs="Times New Roman"/>
                <w:sz w:val="20"/>
                <w:szCs w:val="20"/>
              </w:rPr>
              <w:br/>
              <w:t>В случае, если валюта индекса отличается от валюты оцениваемой ценной бумаги, расчет производится с учетом курсовой разницы по курсу, определяемому в соответствии с Правилами определения стоимости чистых активов. (здесь всегда лучше применять биржевой курс, не курс ЦБ)</w:t>
            </w:r>
            <w:r w:rsidR="001E2BAE" w:rsidRPr="00DB139A">
              <w:rPr>
                <w:rFonts w:eastAsia="Times New Roman" w:cs="Times New Roman"/>
                <w:sz w:val="20"/>
                <w:szCs w:val="20"/>
              </w:rPr>
              <w:br/>
              <w:t>P1’= P0’ * (E(Rp) + 1)</w:t>
            </w:r>
            <w:r w:rsidR="001E2BAE" w:rsidRPr="00DB139A">
              <w:rPr>
                <w:rFonts w:eastAsia="Times New Roman" w:cs="Times New Roman"/>
                <w:sz w:val="20"/>
                <w:szCs w:val="20"/>
              </w:rPr>
              <w:br/>
              <w:t>E(Rp) = Rf +  β * (Rm - Rf)</w:t>
            </w:r>
            <w:r w:rsidR="001E2BAE" w:rsidRPr="00DB139A">
              <w:rPr>
                <w:rFonts w:eastAsia="Times New Roman" w:cs="Times New Roman"/>
                <w:color w:val="FF0000"/>
                <w:sz w:val="20"/>
                <w:szCs w:val="20"/>
              </w:rPr>
              <w:br/>
              <w:t>Rm = P1/P0 - 1</w:t>
            </w:r>
          </w:p>
          <w:p w:rsidR="00A70281" w:rsidRPr="00DB139A" w:rsidRDefault="006E4DBF" w:rsidP="00DB139A">
            <w:pPr>
              <w:rPr>
                <w:color w:val="FF0000"/>
                <w:sz w:val="20"/>
                <w:szCs w:val="20"/>
              </w:rPr>
            </w:pPr>
            <m:oMathPara>
              <m:oMath>
                <m:d>
                  <m:dPr>
                    <m:ctrlPr>
                      <w:rPr>
                        <w:rFonts w:ascii="Cambria Math" w:hAnsi="Cambria Math"/>
                        <w:i/>
                        <w:color w:val="FF0000"/>
                        <w:sz w:val="20"/>
                        <w:szCs w:val="20"/>
                        <w:lang w:val="en-US"/>
                      </w:rPr>
                    </m:ctrlPr>
                  </m:dPr>
                  <m:e>
                    <m:sSub>
                      <m:sSubPr>
                        <m:ctrlPr>
                          <w:rPr>
                            <w:rFonts w:ascii="Cambria Math" w:hAnsi="Cambria Math"/>
                            <w:i/>
                            <w:color w:val="FF0000"/>
                            <w:sz w:val="20"/>
                            <w:szCs w:val="20"/>
                            <w:lang w:val="en-US"/>
                          </w:rPr>
                        </m:ctrlPr>
                      </m:sSubPr>
                      <m:e>
                        <m:r>
                          <w:rPr>
                            <w:rFonts w:ascii="Cambria Math" w:hAnsi="Cambria Math"/>
                            <w:color w:val="FF0000"/>
                            <w:sz w:val="20"/>
                            <w:szCs w:val="20"/>
                            <w:lang w:val="en-US"/>
                          </w:rPr>
                          <m:t>R</m:t>
                        </m:r>
                      </m:e>
                      <m:sub>
                        <m:r>
                          <w:rPr>
                            <w:rFonts w:ascii="Cambria Math" w:hAnsi="Cambria Math"/>
                            <w:color w:val="FF0000"/>
                            <w:sz w:val="20"/>
                            <w:szCs w:val="20"/>
                            <w:lang w:val="en-US"/>
                          </w:rPr>
                          <m:t>f</m:t>
                        </m:r>
                      </m:sub>
                    </m:sSub>
                    <m:r>
                      <w:rPr>
                        <w:rFonts w:ascii="Cambria Math"/>
                        <w:color w:val="FF0000"/>
                        <w:sz w:val="20"/>
                        <w:szCs w:val="20"/>
                        <w:lang w:val="en-US"/>
                      </w:rPr>
                      <m:t>/365</m:t>
                    </m:r>
                  </m:e>
                </m:d>
                <m:r>
                  <w:rPr>
                    <w:rFonts w:ascii="Cambria Math"/>
                    <w:color w:val="FF0000"/>
                    <w:sz w:val="20"/>
                    <w:szCs w:val="20"/>
                    <w:lang w:val="en-US"/>
                  </w:rPr>
                  <m:t>×</m:t>
                </m:r>
                <m:d>
                  <m:dPr>
                    <m:ctrlPr>
                      <w:rPr>
                        <w:rFonts w:ascii="Cambria Math" w:hAnsi="Cambria Math"/>
                        <w:i/>
                        <w:color w:val="FF0000"/>
                        <w:sz w:val="20"/>
                        <w:szCs w:val="20"/>
                        <w:lang w:val="en-US"/>
                      </w:rPr>
                    </m:ctrlPr>
                  </m:dPr>
                  <m:e>
                    <m:sSub>
                      <m:sSubPr>
                        <m:ctrlPr>
                          <w:rPr>
                            <w:rFonts w:ascii="Cambria Math" w:hAnsi="Cambria Math"/>
                            <w:i/>
                            <w:color w:val="FF0000"/>
                            <w:sz w:val="20"/>
                            <w:szCs w:val="20"/>
                            <w:lang w:val="en-US"/>
                          </w:rPr>
                        </m:ctrlPr>
                      </m:sSubPr>
                      <m:e>
                        <m:r>
                          <w:rPr>
                            <w:rFonts w:ascii="Cambria Math" w:hAnsi="Cambria Math"/>
                            <w:color w:val="FF0000"/>
                            <w:sz w:val="20"/>
                            <w:szCs w:val="20"/>
                            <w:lang w:val="en-US"/>
                          </w:rPr>
                          <m:t>T</m:t>
                        </m:r>
                      </m:e>
                      <m:sub>
                        <m:r>
                          <w:rPr>
                            <w:rFonts w:ascii="Cambria Math"/>
                            <w:color w:val="FF0000"/>
                            <w:sz w:val="20"/>
                            <w:szCs w:val="20"/>
                            <w:lang w:val="en-US"/>
                          </w:rPr>
                          <m:t>1</m:t>
                        </m:r>
                      </m:sub>
                    </m:sSub>
                    <m:r>
                      <w:rPr>
                        <w:color w:val="FF0000"/>
                        <w:sz w:val="20"/>
                        <w:szCs w:val="20"/>
                        <w:lang w:val="en-US"/>
                      </w:rPr>
                      <m:t>-</m:t>
                    </m:r>
                    <m:sSub>
                      <m:sSubPr>
                        <m:ctrlPr>
                          <w:rPr>
                            <w:rFonts w:ascii="Cambria Math" w:hAnsi="Cambria Math"/>
                            <w:i/>
                            <w:color w:val="FF0000"/>
                            <w:sz w:val="20"/>
                            <w:szCs w:val="20"/>
                            <w:lang w:val="en-US"/>
                          </w:rPr>
                        </m:ctrlPr>
                      </m:sSubPr>
                      <m:e>
                        <m:r>
                          <w:rPr>
                            <w:rFonts w:ascii="Cambria Math" w:hAnsi="Cambria Math"/>
                            <w:color w:val="FF0000"/>
                            <w:sz w:val="20"/>
                            <w:szCs w:val="20"/>
                            <w:lang w:val="en-US"/>
                          </w:rPr>
                          <m:t>T</m:t>
                        </m:r>
                      </m:e>
                      <m:sub>
                        <m:r>
                          <w:rPr>
                            <w:rFonts w:ascii="Cambria Math"/>
                            <w:color w:val="FF0000"/>
                            <w:sz w:val="20"/>
                            <w:szCs w:val="20"/>
                            <w:lang w:val="en-US"/>
                          </w:rPr>
                          <m:t>0</m:t>
                        </m:r>
                      </m:sub>
                    </m:sSub>
                  </m:e>
                </m:d>
              </m:oMath>
            </m:oMathPara>
          </w:p>
          <w:p w:rsidR="00A70281" w:rsidRPr="00DB139A" w:rsidRDefault="001E2BAE" w:rsidP="00DB139A">
            <w:pPr>
              <w:spacing w:after="0" w:line="240" w:lineRule="auto"/>
              <w:rPr>
                <w:rFonts w:eastAsia="Times New Roman" w:cs="Times New Roman"/>
                <w:sz w:val="20"/>
                <w:szCs w:val="20"/>
              </w:rPr>
            </w:pPr>
            <w:r w:rsidRPr="00DB139A">
              <w:rPr>
                <w:rFonts w:eastAsia="Times New Roman" w:cs="Times New Roman"/>
                <w:sz w:val="20"/>
                <w:szCs w:val="20"/>
              </w:rPr>
              <w:br/>
              <w:t>где:</w:t>
            </w:r>
            <w:r w:rsidRPr="00DB139A">
              <w:rPr>
                <w:rFonts w:eastAsia="Times New Roman" w:cs="Times New Roman"/>
                <w:sz w:val="20"/>
                <w:szCs w:val="20"/>
              </w:rPr>
              <w:br/>
              <w:t>P1’  - справедливая стоимость одной ценной бумаги на дату определения СЧА</w:t>
            </w:r>
            <w:r w:rsidRPr="00DB139A">
              <w:rPr>
                <w:rFonts w:eastAsia="Times New Roman" w:cs="Times New Roman"/>
                <w:sz w:val="20"/>
                <w:szCs w:val="20"/>
              </w:rPr>
              <w:br/>
              <w:t xml:space="preserve">P0’ - последняя определенная справедливая стоимость ценной бумаги </w:t>
            </w:r>
            <w:r w:rsidRPr="00DB139A">
              <w:rPr>
                <w:rFonts w:eastAsia="Times New Roman" w:cs="Times New Roman"/>
                <w:sz w:val="20"/>
                <w:szCs w:val="20"/>
              </w:rPr>
              <w:br/>
              <w:t>P1 - значение рыночного индикатора на дату определения СЧА</w:t>
            </w:r>
            <w:r w:rsidRPr="00DB139A">
              <w:rPr>
                <w:rFonts w:eastAsia="Times New Roman" w:cs="Times New Roman"/>
                <w:sz w:val="20"/>
                <w:szCs w:val="20"/>
              </w:rPr>
              <w:br/>
              <w:t>P0 - значение рыночного индикатора на дату, предшествующую дате определения СЧА</w:t>
            </w:r>
          </w:p>
          <w:p w:rsidR="00A70281" w:rsidRPr="00DB139A" w:rsidRDefault="00A70281" w:rsidP="00DB139A">
            <w:pPr>
              <w:spacing w:after="0" w:line="240" w:lineRule="auto"/>
              <w:rPr>
                <w:rFonts w:eastAsia="Times New Roman" w:cs="Times New Roman"/>
                <w:color w:val="FF0000"/>
                <w:sz w:val="20"/>
                <w:szCs w:val="20"/>
              </w:rPr>
            </w:pPr>
            <w:r w:rsidRPr="00DB139A">
              <w:rPr>
                <w:rFonts w:eastAsia="Times New Roman" w:cs="Times New Roman"/>
                <w:color w:val="FF0000"/>
                <w:sz w:val="20"/>
                <w:szCs w:val="20"/>
              </w:rPr>
              <w:t>T1 – дата определения СЧА</w:t>
            </w:r>
          </w:p>
          <w:p w:rsidR="00A70281" w:rsidRPr="00DB139A" w:rsidRDefault="00A70281" w:rsidP="00DB139A">
            <w:pPr>
              <w:spacing w:after="0" w:line="240" w:lineRule="auto"/>
              <w:rPr>
                <w:rFonts w:eastAsia="Times New Roman" w:cs="Times New Roman"/>
                <w:sz w:val="20"/>
                <w:szCs w:val="20"/>
              </w:rPr>
            </w:pPr>
            <w:r w:rsidRPr="00DB139A">
              <w:rPr>
                <w:rFonts w:eastAsia="Times New Roman" w:cs="Times New Roman"/>
                <w:color w:val="FF0000"/>
                <w:sz w:val="20"/>
                <w:szCs w:val="20"/>
              </w:rPr>
              <w:t>T0 – дата, предшествующая дате определения СЧА</w:t>
            </w:r>
            <w:r w:rsidR="001E2BAE" w:rsidRPr="00DB139A">
              <w:rPr>
                <w:rFonts w:eastAsia="Times New Roman" w:cs="Times New Roman"/>
                <w:color w:val="FF0000"/>
                <w:sz w:val="20"/>
                <w:szCs w:val="20"/>
              </w:rPr>
              <w:br/>
              <w:t>Rf - безрисковая ставка доходности</w:t>
            </w:r>
            <w:r w:rsidRPr="00DB139A">
              <w:rPr>
                <w:rFonts w:eastAsia="Times New Roman" w:cs="Times New Roman"/>
                <w:color w:val="FF0000"/>
                <w:sz w:val="20"/>
                <w:szCs w:val="20"/>
              </w:rPr>
              <w:t xml:space="preserve"> на дату определения СЧА</w:t>
            </w:r>
            <w:r w:rsidR="001E2BAE" w:rsidRPr="00DB139A">
              <w:rPr>
                <w:rFonts w:eastAsia="Times New Roman" w:cs="Times New Roman"/>
                <w:sz w:val="20"/>
                <w:szCs w:val="20"/>
              </w:rPr>
              <w:t>, определенная в соответствии со значением кривой бескупонной доходности государственных ценных бумаг на интервале в один год (альтернативно возможно применять индикативную взвешенную ставку однодневных рублевых кредитов (депозитов) на условиях «overnight» RUONIA)</w:t>
            </w:r>
          </w:p>
          <w:p w:rsidR="00E065AE" w:rsidRPr="00DB139A" w:rsidRDefault="00A70281" w:rsidP="00DB139A">
            <w:pPr>
              <w:spacing w:after="0" w:line="240" w:lineRule="auto"/>
              <w:rPr>
                <w:rFonts w:eastAsia="Times New Roman" w:cs="Times New Roman"/>
                <w:color w:val="FF0000"/>
                <w:sz w:val="20"/>
                <w:szCs w:val="20"/>
              </w:rPr>
            </w:pPr>
            <w:r w:rsidRPr="00DB139A">
              <w:rPr>
                <w:rFonts w:eastAsia="Times New Roman" w:cs="Times New Roman"/>
                <w:color w:val="FF0000"/>
                <w:sz w:val="20"/>
                <w:szCs w:val="20"/>
              </w:rPr>
              <w:t>Rm – Изменение рыночного индикатора на дату определения СЧА</w:t>
            </w:r>
            <w:r w:rsidR="001E2BAE" w:rsidRPr="00DB139A">
              <w:rPr>
                <w:rFonts w:eastAsia="Times New Roman" w:cs="Times New Roman"/>
                <w:color w:val="FF0000"/>
                <w:sz w:val="20"/>
                <w:szCs w:val="20"/>
              </w:rPr>
              <w:br/>
              <w:t>β -  коэффициент  "бета"</w:t>
            </w:r>
            <w:r w:rsidRPr="00DB139A">
              <w:rPr>
                <w:rFonts w:eastAsia="Times New Roman" w:cs="Times New Roman"/>
                <w:color w:val="FF0000"/>
                <w:sz w:val="20"/>
                <w:szCs w:val="20"/>
              </w:rPr>
              <w:t xml:space="preserve"> на дату, предшествующую дате определения СЧА</w:t>
            </w:r>
            <w:r w:rsidR="001E2BAE" w:rsidRPr="00DB139A">
              <w:rPr>
                <w:rFonts w:eastAsia="Times New Roman" w:cs="Times New Roman"/>
                <w:color w:val="FF0000"/>
                <w:sz w:val="20"/>
                <w:szCs w:val="20"/>
              </w:rPr>
              <w:t xml:space="preserve">,  </w:t>
            </w:r>
            <w:r w:rsidR="001E2BAE" w:rsidRPr="00DB139A">
              <w:rPr>
                <w:rFonts w:eastAsia="Times New Roman" w:cs="Times New Roman"/>
                <w:sz w:val="20"/>
                <w:szCs w:val="20"/>
              </w:rPr>
              <w:t>рассчитанный по изменениям цен (значений) рыночного индикатора и изменениям цены</w:t>
            </w:r>
            <w:r w:rsidRPr="00DB139A">
              <w:rPr>
                <w:rFonts w:eastAsia="Times New Roman" w:cs="Times New Roman"/>
                <w:sz w:val="20"/>
                <w:szCs w:val="20"/>
              </w:rPr>
              <w:t xml:space="preserve"> закрытия</w:t>
            </w:r>
            <w:r w:rsidR="001E2BAE" w:rsidRPr="00DB139A">
              <w:rPr>
                <w:rFonts w:eastAsia="Times New Roman" w:cs="Times New Roman"/>
                <w:sz w:val="20"/>
                <w:szCs w:val="20"/>
              </w:rPr>
              <w:t xml:space="preserve"> ценной бумаги. Для расчета коэффициента β используются значения, определенные не более чем за 45 рабочих дней</w:t>
            </w:r>
            <w:r w:rsidR="001E2BAE" w:rsidRPr="00DB139A">
              <w:rPr>
                <w:rFonts w:eastAsia="Times New Roman" w:cs="Times New Roman"/>
                <w:sz w:val="20"/>
                <w:szCs w:val="20"/>
              </w:rPr>
              <w:br/>
              <w:t>α - коэффициент  "альфа",  рассчитанный по изменениям цен (значений) рыночного индикатора и изменениям цены ценной бумаги. Для расчета коэффициента α используются значения</w:t>
            </w:r>
            <w:r w:rsidR="001E2BAE" w:rsidRPr="00DB139A">
              <w:rPr>
                <w:rFonts w:eastAsia="Times New Roman" w:cs="Times New Roman"/>
                <w:color w:val="FF0000"/>
                <w:sz w:val="20"/>
                <w:szCs w:val="20"/>
              </w:rPr>
              <w:t>, определенные</w:t>
            </w:r>
            <w:r w:rsidRPr="00DB139A">
              <w:rPr>
                <w:rFonts w:eastAsia="Times New Roman" w:cs="Times New Roman"/>
                <w:color w:val="FF0000"/>
                <w:sz w:val="20"/>
                <w:szCs w:val="20"/>
              </w:rPr>
              <w:t xml:space="preserve"> не менее чем за 30 рабочих дней, но </w:t>
            </w:r>
            <w:r w:rsidR="001E2BAE" w:rsidRPr="00DB139A">
              <w:rPr>
                <w:rFonts w:eastAsia="Times New Roman" w:cs="Times New Roman"/>
                <w:color w:val="FF0000"/>
                <w:sz w:val="20"/>
                <w:szCs w:val="20"/>
              </w:rPr>
              <w:t xml:space="preserve"> не более чем за 45 рабочих дней</w:t>
            </w:r>
            <w:r w:rsidRPr="00DB139A">
              <w:rPr>
                <w:rFonts w:eastAsia="Times New Roman" w:cs="Times New Roman"/>
                <w:color w:val="FF0000"/>
                <w:sz w:val="20"/>
                <w:szCs w:val="20"/>
              </w:rPr>
              <w:t>.</w:t>
            </w:r>
          </w:p>
          <w:p w:rsidR="00E065AE" w:rsidRPr="00DB139A" w:rsidRDefault="00B34455" w:rsidP="00DB139A">
            <w:pPr>
              <w:spacing w:after="0" w:line="240" w:lineRule="auto"/>
              <w:rPr>
                <w:rFonts w:eastAsia="Times New Roman" w:cs="Times New Roman"/>
                <w:color w:val="FF0000"/>
                <w:sz w:val="20"/>
                <w:szCs w:val="20"/>
              </w:rPr>
            </w:pPr>
            <w:r w:rsidRPr="00DB139A">
              <w:rPr>
                <w:rFonts w:eastAsia="Times New Roman" w:cs="Times New Roman"/>
                <w:color w:val="FF0000"/>
                <w:sz w:val="20"/>
                <w:szCs w:val="20"/>
              </w:rPr>
              <w:lastRenderedPageBreak/>
              <w:t>Правилами определения СЧА может быть установлен следующий порядок определения коэффициента Бета</w:t>
            </w:r>
          </w:p>
          <w:p w:rsidR="00E065AE" w:rsidRPr="00DB139A" w:rsidRDefault="00E065AE" w:rsidP="00DB139A">
            <w:pPr>
              <w:rPr>
                <w:color w:val="FF0000"/>
                <w:sz w:val="20"/>
                <w:szCs w:val="20"/>
              </w:rPr>
            </w:pPr>
            <m:oMathPara>
              <m:oMath>
                <m:r>
                  <w:rPr>
                    <w:rFonts w:ascii="Cambria Math" w:hAnsi="Cambria Math"/>
                    <w:color w:val="FF0000"/>
                    <w:sz w:val="20"/>
                    <w:szCs w:val="20"/>
                    <w:lang w:val="en-US"/>
                  </w:rPr>
                  <m:t>β</m:t>
                </m:r>
                <m:r>
                  <w:rPr>
                    <w:rFonts w:ascii="Cambria Math"/>
                    <w:color w:val="FF0000"/>
                    <w:sz w:val="20"/>
                    <w:szCs w:val="20"/>
                    <w:lang w:val="en-US"/>
                  </w:rPr>
                  <m:t>=</m:t>
                </m:r>
                <m:f>
                  <m:fPr>
                    <m:ctrlPr>
                      <w:rPr>
                        <w:rFonts w:ascii="Cambria Math" w:hAnsi="Cambria Math"/>
                        <w:i/>
                        <w:color w:val="FF0000"/>
                        <w:sz w:val="20"/>
                        <w:szCs w:val="20"/>
                        <w:lang w:val="en-US"/>
                      </w:rPr>
                    </m:ctrlPr>
                  </m:fPr>
                  <m:num>
                    <m:r>
                      <w:rPr>
                        <w:rFonts w:ascii="Cambria Math" w:hAnsi="Cambria Math"/>
                        <w:color w:val="FF0000"/>
                        <w:sz w:val="20"/>
                        <w:szCs w:val="20"/>
                        <w:lang w:val="en-US"/>
                      </w:rPr>
                      <m:t>Covariance</m:t>
                    </m:r>
                    <m:r>
                      <w:rPr>
                        <w:rFonts w:ascii="Cambria Math"/>
                        <w:color w:val="FF0000"/>
                        <w:sz w:val="20"/>
                        <w:szCs w:val="20"/>
                        <w:lang w:val="en-US"/>
                      </w:rPr>
                      <m:t xml:space="preserve"> </m:t>
                    </m:r>
                    <m:d>
                      <m:dPr>
                        <m:ctrlPr>
                          <w:rPr>
                            <w:rFonts w:ascii="Cambria Math" w:hAnsi="Cambria Math"/>
                            <w:i/>
                            <w:color w:val="FF0000"/>
                            <w:sz w:val="20"/>
                            <w:szCs w:val="20"/>
                            <w:lang w:val="en-US"/>
                          </w:rPr>
                        </m:ctrlPr>
                      </m:dPr>
                      <m:e>
                        <m:sSub>
                          <m:sSubPr>
                            <m:ctrlPr>
                              <w:rPr>
                                <w:rFonts w:ascii="Cambria Math" w:hAnsi="Cambria Math"/>
                                <w:i/>
                                <w:color w:val="FF0000"/>
                                <w:sz w:val="20"/>
                                <w:szCs w:val="20"/>
                                <w:lang w:val="en-US"/>
                              </w:rPr>
                            </m:ctrlPr>
                          </m:sSubPr>
                          <m:e>
                            <m:r>
                              <w:rPr>
                                <w:rFonts w:ascii="Cambria Math" w:hAnsi="Cambria Math"/>
                                <w:color w:val="FF0000"/>
                                <w:sz w:val="20"/>
                                <w:szCs w:val="20"/>
                                <w:lang w:val="en-US"/>
                              </w:rPr>
                              <m:t>R</m:t>
                            </m:r>
                          </m:e>
                          <m:sub>
                            <m:r>
                              <w:rPr>
                                <w:rFonts w:ascii="Cambria Math" w:hAnsi="Cambria Math"/>
                                <w:color w:val="FF0000"/>
                                <w:sz w:val="20"/>
                                <w:szCs w:val="20"/>
                                <w:lang w:val="en-US"/>
                              </w:rPr>
                              <m:t>a</m:t>
                            </m:r>
                          </m:sub>
                        </m:sSub>
                        <m:r>
                          <w:rPr>
                            <w:rFonts w:ascii="Cambria Math"/>
                            <w:color w:val="FF0000"/>
                            <w:sz w:val="20"/>
                            <w:szCs w:val="20"/>
                            <w:lang w:val="en-US"/>
                          </w:rPr>
                          <m:t xml:space="preserve">, </m:t>
                        </m:r>
                        <m:sSub>
                          <m:sSubPr>
                            <m:ctrlPr>
                              <w:rPr>
                                <w:rFonts w:ascii="Cambria Math" w:hAnsi="Cambria Math"/>
                                <w:i/>
                                <w:color w:val="FF0000"/>
                                <w:sz w:val="20"/>
                                <w:szCs w:val="20"/>
                                <w:lang w:val="en-US"/>
                              </w:rPr>
                            </m:ctrlPr>
                          </m:sSubPr>
                          <m:e>
                            <m:r>
                              <w:rPr>
                                <w:rFonts w:ascii="Cambria Math"/>
                                <w:color w:val="FF0000"/>
                                <w:sz w:val="20"/>
                                <w:szCs w:val="20"/>
                                <w:lang w:val="en-US"/>
                              </w:rPr>
                              <m:t xml:space="preserve"> </m:t>
                            </m:r>
                            <m:r>
                              <w:rPr>
                                <w:rFonts w:ascii="Cambria Math" w:hAnsi="Cambria Math"/>
                                <w:color w:val="FF0000"/>
                                <w:sz w:val="20"/>
                                <w:szCs w:val="20"/>
                                <w:lang w:val="en-US"/>
                              </w:rPr>
                              <m:t>R</m:t>
                            </m:r>
                          </m:e>
                          <m:sub>
                            <m:r>
                              <w:rPr>
                                <w:rFonts w:ascii="Cambria Math" w:hAnsi="Cambria Math"/>
                                <w:color w:val="FF0000"/>
                                <w:sz w:val="20"/>
                                <w:szCs w:val="20"/>
                                <w:lang w:val="en-US"/>
                              </w:rPr>
                              <m:t>m</m:t>
                            </m:r>
                          </m:sub>
                        </m:sSub>
                      </m:e>
                    </m:d>
                  </m:num>
                  <m:den>
                    <m:r>
                      <w:rPr>
                        <w:rFonts w:ascii="Cambria Math" w:hAnsi="Cambria Math"/>
                        <w:color w:val="FF0000"/>
                        <w:sz w:val="20"/>
                        <w:szCs w:val="20"/>
                        <w:lang w:val="en-US"/>
                      </w:rPr>
                      <m:t>Variance</m:t>
                    </m:r>
                    <m:r>
                      <w:rPr>
                        <w:rFonts w:ascii="Cambria Math"/>
                        <w:color w:val="FF0000"/>
                        <w:sz w:val="20"/>
                        <w:szCs w:val="20"/>
                        <w:lang w:val="en-US"/>
                      </w:rPr>
                      <m:t xml:space="preserve"> </m:t>
                    </m:r>
                    <m:d>
                      <m:dPr>
                        <m:ctrlPr>
                          <w:rPr>
                            <w:rFonts w:ascii="Cambria Math" w:hAnsi="Cambria Math"/>
                            <w:i/>
                            <w:color w:val="FF0000"/>
                            <w:sz w:val="20"/>
                            <w:szCs w:val="20"/>
                            <w:lang w:val="en-US"/>
                          </w:rPr>
                        </m:ctrlPr>
                      </m:dPr>
                      <m:e>
                        <m:sSub>
                          <m:sSubPr>
                            <m:ctrlPr>
                              <w:rPr>
                                <w:rFonts w:ascii="Cambria Math" w:hAnsi="Cambria Math"/>
                                <w:i/>
                                <w:color w:val="FF0000"/>
                                <w:sz w:val="20"/>
                                <w:szCs w:val="20"/>
                                <w:lang w:val="en-US"/>
                              </w:rPr>
                            </m:ctrlPr>
                          </m:sSubPr>
                          <m:e>
                            <m:r>
                              <w:rPr>
                                <w:rFonts w:ascii="Cambria Math" w:hAnsi="Cambria Math"/>
                                <w:color w:val="FF0000"/>
                                <w:sz w:val="20"/>
                                <w:szCs w:val="20"/>
                                <w:lang w:val="en-US"/>
                              </w:rPr>
                              <m:t>R</m:t>
                            </m:r>
                          </m:e>
                          <m:sub>
                            <m:r>
                              <w:rPr>
                                <w:rFonts w:ascii="Cambria Math" w:hAnsi="Cambria Math"/>
                                <w:color w:val="FF0000"/>
                                <w:sz w:val="20"/>
                                <w:szCs w:val="20"/>
                                <w:lang w:val="en-US"/>
                              </w:rPr>
                              <m:t>m</m:t>
                            </m:r>
                          </m:sub>
                        </m:sSub>
                      </m:e>
                    </m:d>
                  </m:den>
                </m:f>
              </m:oMath>
            </m:oMathPara>
          </w:p>
          <w:p w:rsidR="00D45805" w:rsidRDefault="001E2BAE" w:rsidP="00DB139A">
            <w:pPr>
              <w:spacing w:after="0" w:line="240" w:lineRule="auto"/>
              <w:rPr>
                <w:rFonts w:eastAsia="Times New Roman" w:cs="Times New Roman"/>
                <w:sz w:val="20"/>
                <w:szCs w:val="20"/>
                <w:lang w:val="en-US"/>
              </w:rPr>
            </w:pPr>
            <w:r w:rsidRPr="00DB139A">
              <w:rPr>
                <w:rFonts w:eastAsia="Times New Roman" w:cs="Times New Roman"/>
                <w:sz w:val="20"/>
                <w:szCs w:val="20"/>
              </w:rPr>
              <w:br/>
              <w:t xml:space="preserve">Для оценки справедливой стоимости к значению P1’ </w:t>
            </w:r>
            <w:r w:rsidR="00B34455" w:rsidRPr="00DB139A">
              <w:rPr>
                <w:rFonts w:eastAsia="Times New Roman" w:cs="Times New Roman"/>
                <w:sz w:val="20"/>
                <w:szCs w:val="20"/>
              </w:rPr>
              <w:t xml:space="preserve"> могут </w:t>
            </w:r>
            <w:r w:rsidRPr="00DB139A">
              <w:rPr>
                <w:rFonts w:eastAsia="Times New Roman" w:cs="Times New Roman"/>
                <w:sz w:val="20"/>
                <w:szCs w:val="20"/>
              </w:rPr>
              <w:t>применят</w:t>
            </w:r>
            <w:r w:rsidR="00B34455" w:rsidRPr="00DB139A">
              <w:rPr>
                <w:rFonts w:eastAsia="Times New Roman" w:cs="Times New Roman"/>
                <w:sz w:val="20"/>
                <w:szCs w:val="20"/>
              </w:rPr>
              <w:t>ь</w:t>
            </w:r>
            <w:r w:rsidRPr="00DB139A">
              <w:rPr>
                <w:rFonts w:eastAsia="Times New Roman" w:cs="Times New Roman"/>
                <w:sz w:val="20"/>
                <w:szCs w:val="20"/>
              </w:rPr>
              <w:t>ся корректировочные коэффициенты, зависящие от степени неактивности рынка.</w:t>
            </w:r>
            <w:r w:rsidRPr="00DB139A">
              <w:rPr>
                <w:rFonts w:eastAsia="Times New Roman" w:cs="Times New Roman"/>
                <w:sz w:val="20"/>
                <w:szCs w:val="20"/>
              </w:rPr>
              <w:br/>
              <w:t>При отсутствии торгов по ценной бумаге в течение:</w:t>
            </w:r>
            <w:r w:rsidRPr="00DB139A">
              <w:rPr>
                <w:rFonts w:eastAsia="Times New Roman" w:cs="Times New Roman"/>
                <w:sz w:val="20"/>
                <w:szCs w:val="20"/>
              </w:rPr>
              <w:br/>
              <w:t xml:space="preserve">- последних трех рабочих дней применяется коэффициент из диапазона 0,99 – 0,98 </w:t>
            </w:r>
            <w:r w:rsidRPr="00DB139A">
              <w:rPr>
                <w:rFonts w:eastAsia="Times New Roman" w:cs="Times New Roman"/>
                <w:sz w:val="20"/>
                <w:szCs w:val="20"/>
              </w:rPr>
              <w:br/>
              <w:t>- последних пяти рабочих дней применяется коэффициент из диапазона 0,97 – 0,96</w:t>
            </w:r>
            <w:r w:rsidRPr="00DB139A">
              <w:rPr>
                <w:rFonts w:eastAsia="Times New Roman" w:cs="Times New Roman"/>
                <w:sz w:val="20"/>
                <w:szCs w:val="20"/>
              </w:rPr>
              <w:br/>
              <w:t xml:space="preserve">- последних десяти рабочих дней применяется коэффициент из диапазона 0,95 – 0,94 </w:t>
            </w:r>
          </w:p>
          <w:p w:rsidR="00D45805" w:rsidRPr="00D45805" w:rsidRDefault="00D45805" w:rsidP="00DB139A">
            <w:pPr>
              <w:spacing w:after="0" w:line="240" w:lineRule="auto"/>
              <w:rPr>
                <w:rFonts w:eastAsia="Times New Roman" w:cs="Times New Roman"/>
                <w:color w:val="FF0000"/>
                <w:sz w:val="20"/>
                <w:szCs w:val="20"/>
              </w:rPr>
            </w:pPr>
            <w:r w:rsidRPr="00D45805">
              <w:rPr>
                <w:rFonts w:eastAsia="Times New Roman" w:cs="Times New Roman"/>
                <w:color w:val="FF0000"/>
                <w:sz w:val="20"/>
                <w:szCs w:val="20"/>
              </w:rPr>
              <w:t>Точны</w:t>
            </w:r>
            <w:r>
              <w:rPr>
                <w:rFonts w:eastAsia="Times New Roman" w:cs="Times New Roman"/>
                <w:color w:val="FF0000"/>
                <w:sz w:val="20"/>
                <w:szCs w:val="20"/>
              </w:rPr>
              <w:t>й размер</w:t>
            </w:r>
            <w:r w:rsidRPr="00D45805">
              <w:rPr>
                <w:rFonts w:eastAsia="Times New Roman" w:cs="Times New Roman"/>
                <w:color w:val="FF0000"/>
                <w:sz w:val="20"/>
                <w:szCs w:val="20"/>
              </w:rPr>
              <w:t xml:space="preserve"> коэффициент</w:t>
            </w:r>
            <w:r>
              <w:rPr>
                <w:rFonts w:eastAsia="Times New Roman" w:cs="Times New Roman"/>
                <w:color w:val="FF0000"/>
                <w:sz w:val="20"/>
                <w:szCs w:val="20"/>
              </w:rPr>
              <w:t>ов должен</w:t>
            </w:r>
            <w:r w:rsidRPr="00D45805">
              <w:rPr>
                <w:rFonts w:eastAsia="Times New Roman" w:cs="Times New Roman"/>
                <w:color w:val="FF0000"/>
                <w:sz w:val="20"/>
                <w:szCs w:val="20"/>
              </w:rPr>
              <w:t xml:space="preserve"> быть установлены в Правилах определения СЧА</w:t>
            </w:r>
          </w:p>
          <w:p w:rsidR="001E2BAE" w:rsidRPr="00DB139A" w:rsidRDefault="001E2BAE" w:rsidP="00DB139A">
            <w:pPr>
              <w:spacing w:after="0" w:line="240" w:lineRule="auto"/>
              <w:rPr>
                <w:rFonts w:eastAsia="Times New Roman" w:cs="Times New Roman"/>
                <w:sz w:val="20"/>
                <w:szCs w:val="20"/>
              </w:rPr>
            </w:pPr>
            <w:r w:rsidRPr="00DB139A">
              <w:rPr>
                <w:rFonts w:eastAsia="Times New Roman" w:cs="Times New Roman"/>
                <w:sz w:val="20"/>
                <w:szCs w:val="20"/>
              </w:rPr>
              <w:br/>
              <w:t xml:space="preserve">Для </w:t>
            </w:r>
            <w:r w:rsidRPr="00DB139A">
              <w:rPr>
                <w:rFonts w:eastAsia="Times New Roman" w:cs="Times New Roman"/>
                <w:b/>
                <w:bCs/>
                <w:sz w:val="20"/>
                <w:szCs w:val="20"/>
              </w:rPr>
              <w:t xml:space="preserve">облигаций российских эмитентов в порядке убывания </w:t>
            </w:r>
            <w:r w:rsidR="00B52F77" w:rsidRPr="00DB139A">
              <w:rPr>
                <w:rFonts w:eastAsia="Times New Roman" w:cs="Times New Roman"/>
                <w:b/>
                <w:bCs/>
                <w:sz w:val="20"/>
                <w:szCs w:val="20"/>
              </w:rPr>
              <w:t>п</w:t>
            </w:r>
            <w:r w:rsidRPr="00DB139A">
              <w:rPr>
                <w:rFonts w:eastAsia="Times New Roman" w:cs="Times New Roman"/>
                <w:b/>
                <w:bCs/>
                <w:sz w:val="20"/>
                <w:szCs w:val="20"/>
              </w:rPr>
              <w:t xml:space="preserve">риоритета: </w:t>
            </w:r>
            <w:r w:rsidRPr="00DB139A">
              <w:rPr>
                <w:rFonts w:eastAsia="Times New Roman" w:cs="Times New Roman"/>
                <w:b/>
                <w:bCs/>
                <w:sz w:val="20"/>
                <w:szCs w:val="20"/>
              </w:rPr>
              <w:br/>
              <w:t xml:space="preserve">Вариант 1.  </w:t>
            </w:r>
            <w:r w:rsidRPr="00DB139A">
              <w:rPr>
                <w:rFonts w:eastAsia="Times New Roman" w:cs="Times New Roman"/>
                <w:color w:val="FF0000"/>
                <w:sz w:val="20"/>
                <w:szCs w:val="20"/>
              </w:rPr>
              <w:t>цена, рассчитанная НКО АО НРД , Thompson Reuters</w:t>
            </w:r>
            <w:r w:rsidRPr="00DB139A">
              <w:rPr>
                <w:rFonts w:eastAsia="Times New Roman" w:cs="Times New Roman"/>
                <w:sz w:val="20"/>
                <w:szCs w:val="20"/>
              </w:rPr>
              <w:br/>
            </w:r>
            <w:r w:rsidRPr="00DB139A">
              <w:rPr>
                <w:rFonts w:eastAsia="Times New Roman" w:cs="Times New Roman"/>
                <w:b/>
                <w:bCs/>
                <w:sz w:val="20"/>
                <w:szCs w:val="20"/>
              </w:rPr>
              <w:t xml:space="preserve">Вариант 2. </w:t>
            </w:r>
            <w:r w:rsidRPr="00DB139A">
              <w:rPr>
                <w:rFonts w:eastAsia="Times New Roman" w:cs="Times New Roman"/>
                <w:sz w:val="20"/>
                <w:szCs w:val="20"/>
              </w:rPr>
              <w:t>Для облигаций российских эмитентов модель оценки в соответствии с Приложением 4</w:t>
            </w:r>
            <w:r w:rsidR="00B52F77" w:rsidRPr="00DB139A">
              <w:rPr>
                <w:rFonts w:eastAsia="Times New Roman" w:cs="Times New Roman"/>
                <w:sz w:val="20"/>
                <w:szCs w:val="20"/>
              </w:rPr>
              <w:t>.1</w:t>
            </w:r>
            <w:r w:rsidRPr="00DB139A">
              <w:rPr>
                <w:rFonts w:eastAsia="Times New Roman" w:cs="Times New Roman"/>
                <w:sz w:val="20"/>
                <w:szCs w:val="20"/>
              </w:rPr>
              <w:t xml:space="preserve"> к Стандартам Модель №1 </w:t>
            </w:r>
            <w:r w:rsidRPr="00DB139A">
              <w:rPr>
                <w:rFonts w:eastAsia="Times New Roman" w:cs="Times New Roman"/>
                <w:color w:val="FF0000"/>
                <w:sz w:val="20"/>
                <w:szCs w:val="20"/>
              </w:rPr>
              <w:t>или Модель №2, или Модель 3 (Уровень 2).</w:t>
            </w:r>
          </w:p>
        </w:tc>
        <w:tc>
          <w:tcPr>
            <w:tcW w:w="2261"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lastRenderedPageBreak/>
              <w:t>отсутствует</w:t>
            </w:r>
          </w:p>
        </w:tc>
      </w:tr>
      <w:tr w:rsidR="001E2BAE" w:rsidRPr="00DB139A" w:rsidTr="00DB139A">
        <w:trPr>
          <w:trHeight w:val="1680"/>
        </w:trPr>
        <w:tc>
          <w:tcPr>
            <w:tcW w:w="1733" w:type="dxa"/>
            <w:vMerge/>
            <w:tcBorders>
              <w:top w:val="nil"/>
              <w:left w:val="single" w:sz="4" w:space="0" w:color="auto"/>
              <w:bottom w:val="nil"/>
              <w:right w:val="single" w:sz="4" w:space="0" w:color="auto"/>
            </w:tcBorders>
            <w:vAlign w:val="center"/>
            <w:hideMark/>
          </w:tcPr>
          <w:p w:rsidR="001E2BAE" w:rsidRPr="00DB139A" w:rsidRDefault="001E2BAE" w:rsidP="001E2BAE">
            <w:pPr>
              <w:spacing w:after="0" w:line="240" w:lineRule="auto"/>
              <w:rPr>
                <w:rFonts w:eastAsia="Times New Roman" w:cs="Times New Roman"/>
                <w:sz w:val="20"/>
                <w:szCs w:val="20"/>
              </w:rPr>
            </w:pPr>
          </w:p>
        </w:tc>
        <w:tc>
          <w:tcPr>
            <w:tcW w:w="1520" w:type="dxa"/>
            <w:vMerge/>
            <w:tcBorders>
              <w:top w:val="nil"/>
              <w:left w:val="single" w:sz="4" w:space="0" w:color="auto"/>
              <w:bottom w:val="nil"/>
              <w:right w:val="single" w:sz="4" w:space="0" w:color="auto"/>
            </w:tcBorders>
            <w:vAlign w:val="center"/>
            <w:hideMark/>
          </w:tcPr>
          <w:p w:rsidR="001E2BAE" w:rsidRPr="00DB139A" w:rsidRDefault="001E2BAE" w:rsidP="001E2BAE">
            <w:pPr>
              <w:spacing w:after="0" w:line="240" w:lineRule="auto"/>
              <w:rPr>
                <w:rFonts w:eastAsia="Times New Roman" w:cs="Times New Roman"/>
                <w:sz w:val="20"/>
                <w:szCs w:val="20"/>
              </w:rPr>
            </w:pPr>
          </w:p>
        </w:tc>
        <w:tc>
          <w:tcPr>
            <w:tcW w:w="10219" w:type="dxa"/>
            <w:vMerge/>
            <w:tcBorders>
              <w:top w:val="nil"/>
              <w:left w:val="single" w:sz="4" w:space="0" w:color="auto"/>
              <w:bottom w:val="single" w:sz="4" w:space="0" w:color="000000"/>
              <w:right w:val="single" w:sz="4" w:space="0" w:color="auto"/>
            </w:tcBorders>
            <w:hideMark/>
          </w:tcPr>
          <w:p w:rsidR="001E2BAE" w:rsidRPr="00DB139A" w:rsidRDefault="001E2BAE" w:rsidP="00DB139A">
            <w:pPr>
              <w:spacing w:after="0" w:line="240" w:lineRule="auto"/>
              <w:rPr>
                <w:rFonts w:eastAsia="Times New Roman" w:cs="Times New Roman"/>
                <w:sz w:val="20"/>
                <w:szCs w:val="20"/>
              </w:rPr>
            </w:pPr>
          </w:p>
        </w:tc>
        <w:tc>
          <w:tcPr>
            <w:tcW w:w="2261"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 </w:t>
            </w:r>
          </w:p>
        </w:tc>
      </w:tr>
      <w:tr w:rsidR="001E2BAE" w:rsidRPr="00DB139A" w:rsidTr="00DB139A">
        <w:trPr>
          <w:trHeight w:val="8190"/>
        </w:trPr>
        <w:tc>
          <w:tcPr>
            <w:tcW w:w="1733" w:type="dxa"/>
            <w:vMerge/>
            <w:tcBorders>
              <w:top w:val="nil"/>
              <w:left w:val="single" w:sz="4" w:space="0" w:color="auto"/>
              <w:bottom w:val="nil"/>
              <w:right w:val="single" w:sz="4" w:space="0" w:color="auto"/>
            </w:tcBorders>
            <w:vAlign w:val="center"/>
            <w:hideMark/>
          </w:tcPr>
          <w:p w:rsidR="001E2BAE" w:rsidRPr="00DB139A" w:rsidRDefault="001E2BAE" w:rsidP="001E2BAE">
            <w:pPr>
              <w:spacing w:after="0" w:line="240" w:lineRule="auto"/>
              <w:rPr>
                <w:rFonts w:eastAsia="Times New Roman" w:cs="Times New Roman"/>
                <w:sz w:val="20"/>
                <w:szCs w:val="20"/>
              </w:rPr>
            </w:pPr>
          </w:p>
        </w:tc>
        <w:tc>
          <w:tcPr>
            <w:tcW w:w="1520" w:type="dxa"/>
            <w:vMerge/>
            <w:tcBorders>
              <w:top w:val="nil"/>
              <w:left w:val="single" w:sz="4" w:space="0" w:color="auto"/>
              <w:bottom w:val="nil"/>
              <w:right w:val="single" w:sz="4" w:space="0" w:color="auto"/>
            </w:tcBorders>
            <w:vAlign w:val="center"/>
            <w:hideMark/>
          </w:tcPr>
          <w:p w:rsidR="001E2BAE" w:rsidRPr="00DB139A" w:rsidRDefault="001E2BAE" w:rsidP="001E2BAE">
            <w:pPr>
              <w:spacing w:after="0" w:line="240" w:lineRule="auto"/>
              <w:rPr>
                <w:rFonts w:eastAsia="Times New Roman" w:cs="Times New Roman"/>
                <w:sz w:val="20"/>
                <w:szCs w:val="20"/>
              </w:rPr>
            </w:pPr>
          </w:p>
        </w:tc>
        <w:tc>
          <w:tcPr>
            <w:tcW w:w="10219" w:type="dxa"/>
            <w:vMerge/>
            <w:tcBorders>
              <w:top w:val="nil"/>
              <w:left w:val="single" w:sz="4" w:space="0" w:color="auto"/>
              <w:bottom w:val="single" w:sz="4" w:space="0" w:color="000000"/>
              <w:right w:val="single" w:sz="4" w:space="0" w:color="auto"/>
            </w:tcBorders>
            <w:hideMark/>
          </w:tcPr>
          <w:p w:rsidR="001E2BAE" w:rsidRPr="00DB139A" w:rsidRDefault="001E2BAE" w:rsidP="00DB139A">
            <w:pPr>
              <w:spacing w:after="0" w:line="240" w:lineRule="auto"/>
              <w:rPr>
                <w:rFonts w:eastAsia="Times New Roman" w:cs="Times New Roman"/>
                <w:sz w:val="20"/>
                <w:szCs w:val="20"/>
              </w:rPr>
            </w:pPr>
          </w:p>
        </w:tc>
        <w:tc>
          <w:tcPr>
            <w:tcW w:w="2261"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 </w:t>
            </w:r>
          </w:p>
        </w:tc>
      </w:tr>
      <w:tr w:rsidR="001E2BAE" w:rsidRPr="00DB139A" w:rsidTr="00DB139A">
        <w:trPr>
          <w:trHeight w:val="1530"/>
        </w:trPr>
        <w:tc>
          <w:tcPr>
            <w:tcW w:w="1733" w:type="dxa"/>
            <w:tcBorders>
              <w:top w:val="nil"/>
              <w:left w:val="single" w:sz="4" w:space="0" w:color="auto"/>
              <w:bottom w:val="nil"/>
              <w:right w:val="single" w:sz="4" w:space="0" w:color="auto"/>
            </w:tcBorders>
            <w:shd w:val="clear" w:color="auto" w:fill="auto"/>
            <w:vAlign w:val="center"/>
            <w:hideMark/>
          </w:tcPr>
          <w:p w:rsidR="001E2BAE" w:rsidRPr="00DB139A" w:rsidRDefault="001E2BAE" w:rsidP="001E2BAE">
            <w:pPr>
              <w:spacing w:after="0" w:line="240" w:lineRule="auto"/>
              <w:jc w:val="center"/>
              <w:rPr>
                <w:rFonts w:eastAsia="Times New Roman" w:cs="Times New Roman"/>
                <w:sz w:val="20"/>
                <w:szCs w:val="20"/>
              </w:rPr>
            </w:pPr>
            <w:r w:rsidRPr="00DB139A">
              <w:rPr>
                <w:rFonts w:eastAsia="Times New Roman" w:cs="Times New Roman"/>
                <w:sz w:val="20"/>
                <w:szCs w:val="20"/>
              </w:rPr>
              <w:lastRenderedPageBreak/>
              <w:t> </w:t>
            </w:r>
          </w:p>
        </w:tc>
        <w:tc>
          <w:tcPr>
            <w:tcW w:w="1520" w:type="dxa"/>
            <w:tcBorders>
              <w:top w:val="single" w:sz="4" w:space="0" w:color="auto"/>
              <w:left w:val="nil"/>
              <w:bottom w:val="nil"/>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 xml:space="preserve">3 уровень </w:t>
            </w:r>
          </w:p>
        </w:tc>
        <w:tc>
          <w:tcPr>
            <w:tcW w:w="10219" w:type="dxa"/>
            <w:tcBorders>
              <w:top w:val="nil"/>
              <w:left w:val="nil"/>
              <w:bottom w:val="single" w:sz="4" w:space="0" w:color="auto"/>
              <w:right w:val="single" w:sz="4" w:space="0" w:color="auto"/>
            </w:tcBorders>
            <w:shd w:val="clear" w:color="auto" w:fill="auto"/>
            <w:hideMark/>
          </w:tcPr>
          <w:p w:rsidR="001E2BAE" w:rsidRPr="00DB139A" w:rsidRDefault="001E2BAE" w:rsidP="00DB139A">
            <w:pPr>
              <w:spacing w:after="0" w:line="240" w:lineRule="auto"/>
              <w:rPr>
                <w:rFonts w:eastAsia="Times New Roman" w:cs="Times New Roman"/>
                <w:sz w:val="20"/>
                <w:szCs w:val="20"/>
              </w:rPr>
            </w:pPr>
            <w:r w:rsidRPr="00DB139A">
              <w:rPr>
                <w:rFonts w:eastAsia="Times New Roman" w:cs="Times New Roman"/>
                <w:sz w:val="20"/>
                <w:szCs w:val="20"/>
              </w:rPr>
              <w:t xml:space="preserve">Цена, на основании отчета оценщика, составленного не позднее 6 месяцев до даты определения СЧА                                                                                                                                                                                                                                                                                                                       </w:t>
            </w:r>
            <w:r w:rsidRPr="00DB139A">
              <w:rPr>
                <w:rFonts w:eastAsia="Times New Roman" w:cs="Times New Roman"/>
                <w:color w:val="FF0000"/>
                <w:sz w:val="20"/>
                <w:szCs w:val="20"/>
              </w:rPr>
              <w:t>Вариант 1. Для облигаций российских эмитентов модель оценки в соответствии с Приложением 4 к Стандартам Модель №3 (уровень 3)</w:t>
            </w:r>
          </w:p>
        </w:tc>
        <w:tc>
          <w:tcPr>
            <w:tcW w:w="2261"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Оценка, на основании отчета оценщика, составленного не позднее 6 месяцев до даты определения СЧА</w:t>
            </w:r>
          </w:p>
        </w:tc>
      </w:tr>
      <w:tr w:rsidR="001E2BAE" w:rsidRPr="00DB139A" w:rsidTr="00DB139A">
        <w:trPr>
          <w:trHeight w:val="6495"/>
        </w:trPr>
        <w:tc>
          <w:tcPr>
            <w:tcW w:w="17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2BAE" w:rsidRPr="00DB139A" w:rsidRDefault="001E2BAE" w:rsidP="001E2BAE">
            <w:pPr>
              <w:spacing w:after="0" w:line="240" w:lineRule="auto"/>
              <w:jc w:val="center"/>
              <w:rPr>
                <w:rFonts w:eastAsia="Times New Roman" w:cs="Times New Roman"/>
                <w:sz w:val="20"/>
                <w:szCs w:val="20"/>
              </w:rPr>
            </w:pPr>
            <w:r w:rsidRPr="00DB139A">
              <w:rPr>
                <w:rFonts w:eastAsia="Times New Roman" w:cs="Times New Roman"/>
                <w:sz w:val="20"/>
                <w:szCs w:val="20"/>
              </w:rPr>
              <w:t xml:space="preserve">Ценные бумаги иностранных эмитентов </w:t>
            </w:r>
            <w:r w:rsidRPr="00DB139A">
              <w:rPr>
                <w:rFonts w:eastAsia="Times New Roman" w:cs="Times New Roman"/>
                <w:color w:val="FF0000"/>
                <w:sz w:val="20"/>
                <w:szCs w:val="20"/>
              </w:rPr>
              <w:t xml:space="preserve"> (в том числе паи иностранных инвестиционных фондов)</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jc w:val="center"/>
              <w:rPr>
                <w:rFonts w:eastAsia="Times New Roman" w:cs="Times New Roman"/>
                <w:sz w:val="20"/>
                <w:szCs w:val="20"/>
              </w:rPr>
            </w:pPr>
            <w:r w:rsidRPr="00DB139A">
              <w:rPr>
                <w:rFonts w:eastAsia="Times New Roman" w:cs="Times New Roman"/>
                <w:sz w:val="20"/>
                <w:szCs w:val="20"/>
              </w:rPr>
              <w:t xml:space="preserve">1 уровень </w:t>
            </w:r>
          </w:p>
        </w:tc>
        <w:tc>
          <w:tcPr>
            <w:tcW w:w="10219" w:type="dxa"/>
            <w:tcBorders>
              <w:top w:val="nil"/>
              <w:left w:val="nil"/>
              <w:bottom w:val="single" w:sz="4" w:space="0" w:color="auto"/>
              <w:right w:val="single" w:sz="4" w:space="0" w:color="auto"/>
            </w:tcBorders>
            <w:shd w:val="clear" w:color="000000" w:fill="FFFFFF"/>
            <w:hideMark/>
          </w:tcPr>
          <w:p w:rsidR="001E2BAE" w:rsidRPr="00DB139A" w:rsidRDefault="00D437A0" w:rsidP="00DB139A">
            <w:pPr>
              <w:spacing w:after="0" w:line="240" w:lineRule="auto"/>
              <w:rPr>
                <w:rFonts w:eastAsia="Times New Roman" w:cs="Times New Roman"/>
                <w:sz w:val="20"/>
                <w:szCs w:val="20"/>
              </w:rPr>
            </w:pPr>
            <w:r w:rsidRPr="00DB139A">
              <w:rPr>
                <w:rFonts w:eastAsia="Times New Roman" w:cs="Times New Roman"/>
                <w:sz w:val="20"/>
                <w:szCs w:val="20"/>
              </w:rPr>
              <w:t>Если д</w:t>
            </w:r>
            <w:r w:rsidR="001E2BAE" w:rsidRPr="00DB139A">
              <w:rPr>
                <w:rFonts w:eastAsia="Times New Roman" w:cs="Times New Roman"/>
                <w:sz w:val="20"/>
                <w:szCs w:val="20"/>
              </w:rPr>
              <w:t xml:space="preserve">ля определения справедливой стоимости, используются цены основного рынка </w:t>
            </w:r>
            <w:r w:rsidR="001E2BAE" w:rsidRPr="00DB139A">
              <w:rPr>
                <w:rFonts w:eastAsia="Times New Roman" w:cs="Times New Roman"/>
                <w:color w:val="FF0000"/>
                <w:sz w:val="20"/>
                <w:szCs w:val="20"/>
              </w:rPr>
              <w:t xml:space="preserve">за последний торговый день  </w:t>
            </w:r>
            <w:r w:rsidR="001E2BAE" w:rsidRPr="00DB139A">
              <w:rPr>
                <w:rFonts w:eastAsia="Times New Roman" w:cs="Times New Roman"/>
                <w:sz w:val="20"/>
                <w:szCs w:val="20"/>
              </w:rPr>
              <w:t xml:space="preserve"> (из числа активных  российских </w:t>
            </w:r>
            <w:r w:rsidR="001E2BAE" w:rsidRPr="00DB139A">
              <w:rPr>
                <w:rFonts w:eastAsia="Times New Roman" w:cs="Times New Roman"/>
                <w:color w:val="FF0000"/>
                <w:sz w:val="20"/>
                <w:szCs w:val="20"/>
              </w:rPr>
              <w:t>бирж</w:t>
            </w:r>
            <w:r w:rsidR="00C93544" w:rsidRPr="00DB139A">
              <w:rPr>
                <w:rFonts w:eastAsia="Times New Roman" w:cs="Times New Roman"/>
                <w:color w:val="FF0000"/>
                <w:sz w:val="20"/>
                <w:szCs w:val="20"/>
              </w:rPr>
              <w:t>)</w:t>
            </w:r>
            <w:r w:rsidR="001E2BAE" w:rsidRPr="00DB139A">
              <w:rPr>
                <w:rFonts w:eastAsia="Times New Roman" w:cs="Times New Roman"/>
                <w:color w:val="FF0000"/>
                <w:sz w:val="20"/>
                <w:szCs w:val="20"/>
              </w:rPr>
              <w:t xml:space="preserve">, </w:t>
            </w:r>
            <w:r w:rsidR="00C93544" w:rsidRPr="00DB139A">
              <w:rPr>
                <w:rFonts w:eastAsia="Times New Roman" w:cs="Times New Roman"/>
                <w:color w:val="FF0000"/>
                <w:sz w:val="20"/>
                <w:szCs w:val="20"/>
              </w:rPr>
              <w:t xml:space="preserve"> используются цены </w:t>
            </w:r>
            <w:r w:rsidR="001E2BAE" w:rsidRPr="00DB139A">
              <w:rPr>
                <w:rFonts w:eastAsia="Times New Roman" w:cs="Times New Roman"/>
                <w:sz w:val="20"/>
                <w:szCs w:val="20"/>
              </w:rPr>
              <w:t>выбранные в следующем порядке (убывания приоритета):</w:t>
            </w:r>
            <w:r w:rsidR="001E2BAE" w:rsidRPr="00DB139A">
              <w:rPr>
                <w:rFonts w:eastAsia="Times New Roman" w:cs="Times New Roman"/>
                <w:sz w:val="20"/>
                <w:szCs w:val="20"/>
              </w:rPr>
              <w:br/>
              <w:t xml:space="preserve">a) цена спроса (bid) на момент окончания торговой сессии российской биржи на дату определения СЧА при условии подтверждения ее корректности; </w:t>
            </w:r>
            <w:r w:rsidR="001E2BAE" w:rsidRPr="00DB139A">
              <w:rPr>
                <w:rFonts w:eastAsia="Times New Roman" w:cs="Times New Roman"/>
                <w:color w:val="FF0000"/>
                <w:sz w:val="20"/>
                <w:szCs w:val="20"/>
              </w:rPr>
              <w:t xml:space="preserve">Цена спроса, определенная на дату определения СЧА, признается корректной, если она находится в интервале между минимальной и максимальной ценами сделок на эту же дату этой же биржи;                        </w:t>
            </w:r>
            <w:r w:rsidR="001E2BAE" w:rsidRPr="00DB139A">
              <w:rPr>
                <w:rFonts w:eastAsia="Times New Roman" w:cs="Times New Roman"/>
                <w:sz w:val="20"/>
                <w:szCs w:val="20"/>
              </w:rPr>
              <w:br/>
              <w:t>b) средневзвешенная цена на момент окончания торговой сессии российской биржи на дату определения СЧА</w:t>
            </w:r>
            <w:r w:rsidR="008555E1" w:rsidRPr="00DB139A">
              <w:rPr>
                <w:rFonts w:eastAsia="Times New Roman" w:cs="Times New Roman"/>
                <w:sz w:val="20"/>
                <w:szCs w:val="20"/>
              </w:rPr>
              <w:t xml:space="preserve">, </w:t>
            </w:r>
            <w:r w:rsidR="008555E1" w:rsidRPr="00DB139A">
              <w:rPr>
                <w:rFonts w:eastAsia="Times New Roman" w:cs="Times New Roman"/>
                <w:color w:val="17375D"/>
                <w:sz w:val="20"/>
                <w:szCs w:val="20"/>
              </w:rPr>
              <w:t>при условии, что данная цена находится в пределах спрэда по спросу и предложению на указанную дату;</w:t>
            </w:r>
            <w:r w:rsidR="008555E1" w:rsidRPr="00DB139A">
              <w:rPr>
                <w:rFonts w:eastAsia="Times New Roman" w:cs="Times New Roman"/>
                <w:sz w:val="20"/>
                <w:szCs w:val="20"/>
              </w:rPr>
              <w:t xml:space="preserve"> </w:t>
            </w:r>
            <w:r w:rsidR="001E2BAE" w:rsidRPr="00DB139A">
              <w:rPr>
                <w:rFonts w:eastAsia="Times New Roman" w:cs="Times New Roman"/>
                <w:sz w:val="20"/>
                <w:szCs w:val="20"/>
              </w:rPr>
              <w:br/>
              <w:t xml:space="preserve"> с) цена закрытия на момент окончания торговой сессии российской биржи на дату определения СЧА при условии подтверждения ее корректности;</w:t>
            </w:r>
            <w:r w:rsidR="001E2BAE" w:rsidRPr="00DB139A">
              <w:rPr>
                <w:rFonts w:eastAsia="Times New Roman" w:cs="Times New Roman"/>
                <w:sz w:val="20"/>
                <w:szCs w:val="20"/>
              </w:rPr>
              <w:br/>
              <w:t>Цена закрытия признается корректной, если раскрыты данные об объеме торгов за день и объем торгов не равен нулю.</w:t>
            </w:r>
            <w:r w:rsidR="001E2BAE" w:rsidRPr="00DB139A">
              <w:rPr>
                <w:rFonts w:eastAsia="Times New Roman" w:cs="Times New Roman"/>
                <w:sz w:val="20"/>
                <w:szCs w:val="20"/>
              </w:rPr>
              <w:br/>
              <w:t>с проверкой (CLOSE)&lt;&gt;0</w:t>
            </w:r>
            <w:r w:rsidR="001E2BAE" w:rsidRPr="00DB139A">
              <w:rPr>
                <w:rFonts w:eastAsia="Times New Roman" w:cs="Times New Roman"/>
                <w:sz w:val="20"/>
                <w:szCs w:val="20"/>
              </w:rPr>
              <w:br/>
              <w:t>Иной приоритет определения справедливой стоимости может быть установлен в Правилах определения СЧА .</w:t>
            </w:r>
            <w:r w:rsidR="001E2BAE" w:rsidRPr="00DB139A">
              <w:rPr>
                <w:rFonts w:eastAsia="Times New Roman" w:cs="Times New Roman"/>
                <w:sz w:val="20"/>
                <w:szCs w:val="20"/>
              </w:rPr>
              <w:br/>
            </w:r>
            <w:r w:rsidR="001E2BAE" w:rsidRPr="00DB139A">
              <w:rPr>
                <w:rFonts w:eastAsia="Times New Roman" w:cs="Times New Roman"/>
                <w:sz w:val="20"/>
                <w:szCs w:val="20"/>
              </w:rPr>
              <w:br/>
            </w:r>
            <w:r w:rsidRPr="00DB139A">
              <w:rPr>
                <w:rFonts w:eastAsia="Times New Roman" w:cs="Times New Roman"/>
                <w:sz w:val="20"/>
                <w:szCs w:val="20"/>
              </w:rPr>
              <w:t>Если д</w:t>
            </w:r>
            <w:r w:rsidR="001E2BAE" w:rsidRPr="00DB139A">
              <w:rPr>
                <w:rFonts w:eastAsia="Times New Roman" w:cs="Times New Roman"/>
                <w:sz w:val="20"/>
                <w:szCs w:val="20"/>
              </w:rPr>
              <w:t xml:space="preserve">ля определения справедливой стоимости , используются цены основного </w:t>
            </w:r>
            <w:r w:rsidR="001E2BAE" w:rsidRPr="00DB139A">
              <w:rPr>
                <w:rFonts w:eastAsia="Times New Roman" w:cs="Times New Roman"/>
                <w:color w:val="FF0000"/>
                <w:sz w:val="20"/>
                <w:szCs w:val="20"/>
              </w:rPr>
              <w:t>рынка за последний торговый день   (из числа активных иностранных бирж),</w:t>
            </w:r>
            <w:r w:rsidR="00C93544" w:rsidRPr="00DB139A">
              <w:rPr>
                <w:rFonts w:eastAsia="Times New Roman" w:cs="Times New Roman"/>
                <w:color w:val="FF0000"/>
                <w:sz w:val="20"/>
                <w:szCs w:val="20"/>
              </w:rPr>
              <w:t xml:space="preserve"> используются цены</w:t>
            </w:r>
            <w:r w:rsidR="001E2BAE" w:rsidRPr="00DB139A">
              <w:rPr>
                <w:rFonts w:eastAsia="Times New Roman" w:cs="Times New Roman"/>
                <w:color w:val="FF0000"/>
                <w:sz w:val="20"/>
                <w:szCs w:val="20"/>
              </w:rPr>
              <w:t xml:space="preserve"> </w:t>
            </w:r>
            <w:r w:rsidR="001E2BAE" w:rsidRPr="00DB139A">
              <w:rPr>
                <w:rFonts w:eastAsia="Times New Roman" w:cs="Times New Roman"/>
                <w:sz w:val="20"/>
                <w:szCs w:val="20"/>
              </w:rPr>
              <w:t>выбранные в следующем порядке (убывания приоритета):</w:t>
            </w:r>
            <w:r w:rsidR="001E2BAE" w:rsidRPr="00DB139A">
              <w:rPr>
                <w:rFonts w:eastAsia="Times New Roman" w:cs="Times New Roman"/>
                <w:sz w:val="20"/>
                <w:szCs w:val="20"/>
              </w:rPr>
              <w:br/>
              <w:t xml:space="preserve">a) цена спроса (bid last,) на торговой площадке иностранной биржи  на дату определения СЧА; </w:t>
            </w:r>
            <w:r w:rsidR="001E2BAE" w:rsidRPr="00DB139A">
              <w:rPr>
                <w:rFonts w:eastAsia="Times New Roman" w:cs="Times New Roman"/>
                <w:sz w:val="20"/>
                <w:szCs w:val="20"/>
              </w:rPr>
              <w:br/>
            </w:r>
            <w:r w:rsidR="001E2BAE" w:rsidRPr="00DB139A">
              <w:rPr>
                <w:rFonts w:eastAsia="Times New Roman" w:cs="Times New Roman"/>
                <w:b/>
                <w:bCs/>
                <w:sz w:val="20"/>
                <w:szCs w:val="20"/>
              </w:rPr>
              <w:t xml:space="preserve">Цена спроса, определенная на дату определения СЧА, признается корректной, если она находится в интервале между минимальной и максимальной ценами сделок на эту же дату этой же биржи;                </w:t>
            </w:r>
            <w:r w:rsidR="001E2BAE" w:rsidRPr="00DB139A">
              <w:rPr>
                <w:rFonts w:eastAsia="Times New Roman" w:cs="Times New Roman"/>
                <w:sz w:val="20"/>
                <w:szCs w:val="20"/>
              </w:rPr>
              <w:br/>
              <w:t>b) цена закрытия (</w:t>
            </w:r>
            <w:r w:rsidR="001E2BAE" w:rsidRPr="00DB139A">
              <w:rPr>
                <w:rFonts w:eastAsia="Times New Roman" w:cs="Times New Roman"/>
                <w:color w:val="FF0000"/>
                <w:sz w:val="20"/>
                <w:szCs w:val="20"/>
              </w:rPr>
              <w:t>px_last</w:t>
            </w:r>
            <w:r w:rsidR="001E2BAE" w:rsidRPr="00DB139A">
              <w:rPr>
                <w:rFonts w:eastAsia="Times New Roman" w:cs="Times New Roman"/>
                <w:sz w:val="20"/>
                <w:szCs w:val="20"/>
              </w:rPr>
              <w:t>)</w:t>
            </w:r>
            <w:r w:rsidR="00B34455" w:rsidRPr="00DB139A">
              <w:rPr>
                <w:rFonts w:eastAsia="Times New Roman" w:cs="Times New Roman"/>
                <w:sz w:val="20"/>
                <w:szCs w:val="20"/>
              </w:rPr>
              <w:t xml:space="preserve"> </w:t>
            </w:r>
            <w:r w:rsidR="001E2BAE" w:rsidRPr="00DB139A">
              <w:rPr>
                <w:rFonts w:eastAsia="Times New Roman" w:cs="Times New Roman"/>
                <w:sz w:val="20"/>
                <w:szCs w:val="20"/>
              </w:rPr>
              <w:t>на  торговой площадке иностранной биржи  на дату определения СЧА при условии подтверждения ее корректности;</w:t>
            </w:r>
            <w:r w:rsidR="001E2BAE" w:rsidRPr="00DB139A">
              <w:rPr>
                <w:rFonts w:eastAsia="Times New Roman" w:cs="Times New Roman"/>
                <w:sz w:val="20"/>
                <w:szCs w:val="20"/>
              </w:rPr>
              <w:br/>
              <w:t>Цена закрытия признается корректной, если раскрыты данные об объеме торгов за день и объем торгов не равен нулю.</w:t>
            </w:r>
          </w:p>
        </w:tc>
        <w:tc>
          <w:tcPr>
            <w:tcW w:w="2261"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отсутствует</w:t>
            </w:r>
          </w:p>
        </w:tc>
      </w:tr>
      <w:tr w:rsidR="001E2BAE" w:rsidRPr="00DB139A" w:rsidTr="00DB139A">
        <w:trPr>
          <w:trHeight w:val="4590"/>
        </w:trPr>
        <w:tc>
          <w:tcPr>
            <w:tcW w:w="1733" w:type="dxa"/>
            <w:vMerge/>
            <w:tcBorders>
              <w:top w:val="single" w:sz="4" w:space="0" w:color="auto"/>
              <w:left w:val="single" w:sz="4" w:space="0" w:color="auto"/>
              <w:bottom w:val="single" w:sz="4" w:space="0" w:color="000000"/>
              <w:right w:val="single" w:sz="4" w:space="0" w:color="auto"/>
            </w:tcBorders>
            <w:vAlign w:val="center"/>
            <w:hideMark/>
          </w:tcPr>
          <w:p w:rsidR="001E2BAE" w:rsidRPr="00DB139A" w:rsidRDefault="001E2BAE" w:rsidP="001E2BAE">
            <w:pPr>
              <w:spacing w:after="0" w:line="240" w:lineRule="auto"/>
              <w:rPr>
                <w:rFonts w:eastAsia="Times New Roman" w:cs="Times New Roman"/>
                <w:sz w:val="20"/>
                <w:szCs w:val="20"/>
              </w:rPr>
            </w:pPr>
          </w:p>
        </w:tc>
        <w:tc>
          <w:tcPr>
            <w:tcW w:w="1520"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jc w:val="center"/>
              <w:rPr>
                <w:rFonts w:eastAsia="Times New Roman" w:cs="Times New Roman"/>
                <w:sz w:val="20"/>
                <w:szCs w:val="20"/>
              </w:rPr>
            </w:pPr>
            <w:r w:rsidRPr="00DB139A">
              <w:rPr>
                <w:rFonts w:eastAsia="Times New Roman" w:cs="Times New Roman"/>
                <w:sz w:val="20"/>
                <w:szCs w:val="20"/>
              </w:rPr>
              <w:t xml:space="preserve">2 уровень </w:t>
            </w:r>
          </w:p>
        </w:tc>
        <w:tc>
          <w:tcPr>
            <w:tcW w:w="10219" w:type="dxa"/>
            <w:tcBorders>
              <w:top w:val="nil"/>
              <w:left w:val="nil"/>
              <w:bottom w:val="single" w:sz="4" w:space="0" w:color="auto"/>
              <w:right w:val="nil"/>
            </w:tcBorders>
            <w:shd w:val="clear" w:color="auto" w:fill="auto"/>
            <w:noWrap/>
            <w:hideMark/>
          </w:tcPr>
          <w:p w:rsidR="001E2BAE" w:rsidRPr="00DB139A" w:rsidRDefault="001E2BAE" w:rsidP="00DB139A">
            <w:pPr>
              <w:spacing w:after="0" w:line="240" w:lineRule="auto"/>
              <w:rPr>
                <w:rFonts w:eastAsia="Times New Roman" w:cs="Times New Roman"/>
                <w:color w:val="000000"/>
                <w:sz w:val="20"/>
                <w:szCs w:val="20"/>
              </w:rPr>
            </w:pPr>
          </w:p>
          <w:tbl>
            <w:tblPr>
              <w:tblW w:w="10098" w:type="dxa"/>
              <w:tblCellSpacing w:w="0" w:type="dxa"/>
              <w:tblCellMar>
                <w:left w:w="0" w:type="dxa"/>
                <w:right w:w="0" w:type="dxa"/>
              </w:tblCellMar>
              <w:tblLook w:val="04A0"/>
            </w:tblPr>
            <w:tblGrid>
              <w:gridCol w:w="10098"/>
            </w:tblGrid>
            <w:tr w:rsidR="001E2BAE" w:rsidRPr="00DB139A" w:rsidTr="001E2BAE">
              <w:trPr>
                <w:trHeight w:val="4590"/>
                <w:tblCellSpacing w:w="0" w:type="dxa"/>
              </w:trPr>
              <w:tc>
                <w:tcPr>
                  <w:tcW w:w="10098" w:type="dxa"/>
                  <w:tcBorders>
                    <w:top w:val="nil"/>
                    <w:left w:val="nil"/>
                    <w:bottom w:val="single" w:sz="4" w:space="0" w:color="auto"/>
                    <w:right w:val="single" w:sz="4" w:space="0" w:color="auto"/>
                  </w:tcBorders>
                  <w:shd w:val="clear" w:color="auto" w:fill="auto"/>
                  <w:vAlign w:val="center"/>
                  <w:hideMark/>
                </w:tcPr>
                <w:p w:rsidR="001E2BAE" w:rsidRPr="00DB139A" w:rsidRDefault="00D45805" w:rsidP="00DB139A">
                  <w:pPr>
                    <w:spacing w:after="0" w:line="240" w:lineRule="auto"/>
                    <w:rPr>
                      <w:rFonts w:eastAsia="Times New Roman" w:cs="Times New Roman"/>
                      <w:sz w:val="20"/>
                      <w:szCs w:val="20"/>
                    </w:rPr>
                  </w:pPr>
                  <w:r>
                    <w:rPr>
                      <w:rFonts w:eastAsia="Times New Roman" w:cs="Times New Roman"/>
                      <w:noProof/>
                      <w:sz w:val="20"/>
                      <w:szCs w:val="20"/>
                    </w:rPr>
                    <w:drawing>
                      <wp:anchor distT="0" distB="0" distL="114300" distR="114300" simplePos="0" relativeHeight="251658240" behindDoc="0" locked="0" layoutInCell="1" allowOverlap="1">
                        <wp:simplePos x="0" y="0"/>
                        <wp:positionH relativeFrom="column">
                          <wp:posOffset>323850</wp:posOffset>
                        </wp:positionH>
                        <wp:positionV relativeFrom="paragraph">
                          <wp:posOffset>711835</wp:posOffset>
                        </wp:positionV>
                        <wp:extent cx="4878705" cy="482600"/>
                        <wp:effectExtent l="19050" t="0" r="0" b="0"/>
                        <wp:wrapNone/>
                        <wp:docPr id="2" name="Рисунок 2"/>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a:blip r:embed="rId8" cstate="print"/>
                                <a:stretch>
                                  <a:fillRect/>
                                </a:stretch>
                              </pic:blipFill>
                              <pic:spPr>
                                <a:xfrm>
                                  <a:off x="0" y="0"/>
                                  <a:ext cx="4878705" cy="482600"/>
                                </a:xfrm>
                                <a:prstGeom prst="rect">
                                  <a:avLst/>
                                </a:prstGeom>
                              </pic:spPr>
                            </pic:pic>
                          </a:graphicData>
                        </a:graphic>
                      </wp:anchor>
                    </w:drawing>
                  </w:r>
                  <w:r w:rsidR="001E2BAE" w:rsidRPr="00DB139A">
                    <w:rPr>
                      <w:rFonts w:eastAsia="Times New Roman" w:cs="Times New Roman"/>
                      <w:sz w:val="20"/>
                      <w:szCs w:val="20"/>
                    </w:rPr>
                    <w:t xml:space="preserve">См. Вариант 1 </w:t>
                  </w:r>
                  <w:r w:rsidR="007E264A" w:rsidRPr="00DB139A">
                    <w:rPr>
                      <w:rFonts w:eastAsia="Times New Roman" w:cs="Times New Roman"/>
                      <w:sz w:val="20"/>
                      <w:szCs w:val="20"/>
                    </w:rPr>
                    <w:t xml:space="preserve">для </w:t>
                  </w:r>
                  <w:r w:rsidR="001E2BAE" w:rsidRPr="00DB139A">
                    <w:rPr>
                      <w:rFonts w:eastAsia="Times New Roman" w:cs="Times New Roman"/>
                      <w:sz w:val="20"/>
                      <w:szCs w:val="20"/>
                    </w:rPr>
                    <w:t>акций российских эмитентов</w:t>
                  </w:r>
                  <w:r>
                    <w:rPr>
                      <w:rFonts w:eastAsia="Times New Roman" w:cs="Times New Roman"/>
                      <w:sz w:val="20"/>
                      <w:szCs w:val="20"/>
                    </w:rPr>
                    <w:t>.</w:t>
                  </w:r>
                  <w:r w:rsidR="001E2BAE" w:rsidRPr="00DB139A">
                    <w:rPr>
                      <w:rFonts w:eastAsia="Times New Roman" w:cs="Times New Roman"/>
                      <w:sz w:val="20"/>
                      <w:szCs w:val="20"/>
                    </w:rPr>
                    <w:t xml:space="preserve"> </w:t>
                  </w:r>
                  <w:r w:rsidR="001E2BAE" w:rsidRPr="00DB139A">
                    <w:rPr>
                      <w:rFonts w:eastAsia="Times New Roman" w:cs="Times New Roman"/>
                      <w:sz w:val="20"/>
                      <w:szCs w:val="20"/>
                    </w:rPr>
                    <w:br/>
                    <w:t>При отсутствии объема торгов на дату определения СЧА для определения справедливой стоимости акций</w:t>
                  </w:r>
                  <w:r w:rsidR="00FD69F4" w:rsidRPr="00DB139A">
                    <w:rPr>
                      <w:rFonts w:eastAsia="Times New Roman" w:cs="Times New Roman"/>
                      <w:sz w:val="20"/>
                      <w:szCs w:val="20"/>
                    </w:rPr>
                    <w:t xml:space="preserve"> и </w:t>
                  </w:r>
                  <w:r w:rsidR="008F45A0" w:rsidRPr="00DB139A">
                    <w:rPr>
                      <w:rFonts w:eastAsia="Times New Roman" w:cs="Times New Roman"/>
                      <w:color w:val="FF0000"/>
                      <w:sz w:val="20"/>
                      <w:szCs w:val="20"/>
                    </w:rPr>
                    <w:t>депозитарных расписок</w:t>
                  </w:r>
                  <w:r w:rsidR="001E2BAE" w:rsidRPr="00DB139A">
                    <w:rPr>
                      <w:rFonts w:eastAsia="Times New Roman" w:cs="Times New Roman"/>
                      <w:sz w:val="20"/>
                      <w:szCs w:val="20"/>
                    </w:rPr>
                    <w:t>, обращающихся на иностранных фондовых биржах, может применяться</w:t>
                  </w:r>
                  <w:r w:rsidR="00FD69F4" w:rsidRPr="00DB139A">
                    <w:rPr>
                      <w:rFonts w:eastAsia="Times New Roman" w:cs="Times New Roman"/>
                      <w:sz w:val="20"/>
                      <w:szCs w:val="20"/>
                    </w:rPr>
                    <w:t xml:space="preserve"> </w:t>
                  </w:r>
                  <w:r w:rsidR="001E2BAE" w:rsidRPr="00DB139A">
                    <w:rPr>
                      <w:rFonts w:eastAsia="Times New Roman" w:cs="Times New Roman"/>
                      <w:sz w:val="20"/>
                      <w:szCs w:val="20"/>
                    </w:rPr>
                    <w:t xml:space="preserve">усредненное за последние десять торговых дней среднее значение двусторонней котировки, рассчитанное по </w:t>
                  </w:r>
                  <w:r w:rsidR="00962063" w:rsidRPr="00DB139A">
                    <w:rPr>
                      <w:rFonts w:eastAsia="Times New Roman" w:cs="Times New Roman"/>
                      <w:color w:val="FF0000"/>
                      <w:sz w:val="20"/>
                      <w:szCs w:val="20"/>
                    </w:rPr>
                    <w:t xml:space="preserve">следующей </w:t>
                  </w:r>
                  <w:r w:rsidR="001E2BAE" w:rsidRPr="00DB139A">
                    <w:rPr>
                      <w:rFonts w:eastAsia="Times New Roman" w:cs="Times New Roman"/>
                      <w:color w:val="FF0000"/>
                      <w:sz w:val="20"/>
                      <w:szCs w:val="20"/>
                    </w:rPr>
                    <w:t>формуле:</w:t>
                  </w:r>
                  <w:r w:rsidR="001E2BAE" w:rsidRPr="00DB139A">
                    <w:rPr>
                      <w:rFonts w:eastAsia="Times New Roman" w:cs="Times New Roman"/>
                      <w:sz w:val="20"/>
                      <w:szCs w:val="20"/>
                    </w:rPr>
                    <w:br/>
                  </w:r>
                  <w:r w:rsidR="001E2BAE" w:rsidRPr="00DB139A">
                    <w:rPr>
                      <w:rFonts w:eastAsia="Times New Roman" w:cs="Times New Roman"/>
                      <w:sz w:val="20"/>
                      <w:szCs w:val="20"/>
                    </w:rPr>
                    <w:br/>
                  </w:r>
                  <w:r w:rsidR="001E2BAE" w:rsidRPr="00DB139A">
                    <w:rPr>
                      <w:rFonts w:eastAsia="Times New Roman" w:cs="Times New Roman"/>
                      <w:sz w:val="20"/>
                      <w:szCs w:val="20"/>
                    </w:rPr>
                    <w:br/>
                  </w:r>
                  <w:r w:rsidR="001E2BAE" w:rsidRPr="00DB139A">
                    <w:rPr>
                      <w:rFonts w:eastAsia="Times New Roman" w:cs="Times New Roman"/>
                      <w:sz w:val="20"/>
                      <w:szCs w:val="20"/>
                    </w:rPr>
                    <w:br/>
                  </w:r>
                  <w:r w:rsidR="001E2BAE" w:rsidRPr="00DB139A">
                    <w:rPr>
                      <w:rFonts w:eastAsia="Times New Roman" w:cs="Times New Roman"/>
                      <w:sz w:val="20"/>
                      <w:szCs w:val="20"/>
                    </w:rPr>
                    <w:br/>
                  </w:r>
                  <w:r w:rsidR="001E2BAE" w:rsidRPr="00DB139A">
                    <w:rPr>
                      <w:rFonts w:eastAsia="Times New Roman" w:cs="Times New Roman"/>
                      <w:sz w:val="20"/>
                      <w:szCs w:val="20"/>
                    </w:rPr>
                    <w:br/>
                    <w:t xml:space="preserve"> где n – дата определения СЧА, </w:t>
                  </w:r>
                </w:p>
                <w:p w:rsidR="001E2BAE" w:rsidRPr="00DB139A" w:rsidRDefault="001E2BAE" w:rsidP="00DB139A">
                  <w:pPr>
                    <w:spacing w:after="0" w:line="240" w:lineRule="auto"/>
                    <w:rPr>
                      <w:rFonts w:eastAsia="Times New Roman" w:cs="Times New Roman"/>
                      <w:sz w:val="20"/>
                      <w:szCs w:val="20"/>
                    </w:rPr>
                  </w:pPr>
                  <w:r w:rsidRPr="00DB139A">
                    <w:rPr>
                      <w:rFonts w:eastAsia="Times New Roman" w:cs="Times New Roman"/>
                      <w:sz w:val="20"/>
                      <w:szCs w:val="20"/>
                    </w:rPr>
                    <w:t>PX_MID   – среднее значение между ценой спроса PX_BID  и предложения PX_ASK за последние 10 торговых дней, PX_BID  - наибольшая цена спроса, опубликованная информационным ресурсом Bloomberg,</w:t>
                  </w:r>
                </w:p>
                <w:p w:rsidR="001E2BAE" w:rsidRPr="00DB139A" w:rsidRDefault="001E2BAE" w:rsidP="00DB139A">
                  <w:pPr>
                    <w:spacing w:after="0" w:line="240" w:lineRule="auto"/>
                    <w:rPr>
                      <w:rFonts w:eastAsia="Times New Roman" w:cs="Times New Roman"/>
                      <w:sz w:val="20"/>
                      <w:szCs w:val="20"/>
                    </w:rPr>
                  </w:pPr>
                  <w:r w:rsidRPr="00DB139A">
                    <w:rPr>
                      <w:rFonts w:eastAsia="Times New Roman" w:cs="Times New Roman"/>
                      <w:sz w:val="20"/>
                      <w:szCs w:val="20"/>
                    </w:rPr>
                    <w:t xml:space="preserve">PX_ASK – наименьшая цена предложения, опубликованная информационным ресурсом Bloomberg. </w:t>
                  </w:r>
                  <w:r w:rsidRPr="00DB139A">
                    <w:rPr>
                      <w:rFonts w:eastAsia="Times New Roman" w:cs="Times New Roman"/>
                      <w:sz w:val="20"/>
                      <w:szCs w:val="20"/>
                    </w:rPr>
                    <w:br/>
                  </w:r>
                </w:p>
                <w:p w:rsidR="001E2BAE" w:rsidRPr="00DB139A" w:rsidRDefault="001E2BAE" w:rsidP="00DB139A">
                  <w:pPr>
                    <w:spacing w:after="0" w:line="240" w:lineRule="auto"/>
                    <w:rPr>
                      <w:rFonts w:eastAsia="Times New Roman" w:cs="Times New Roman"/>
                      <w:sz w:val="20"/>
                      <w:szCs w:val="20"/>
                    </w:rPr>
                  </w:pPr>
                  <w:r w:rsidRPr="00DB139A">
                    <w:rPr>
                      <w:rFonts w:eastAsia="Times New Roman" w:cs="Times New Roman"/>
                      <w:sz w:val="20"/>
                      <w:szCs w:val="20"/>
                    </w:rPr>
                    <w:t>Данная цена считается корректной (или может применяться) при соблюдении одновременно следующих условий:</w:t>
                  </w:r>
                  <w:r w:rsidRPr="00DB139A">
                    <w:rPr>
                      <w:rFonts w:eastAsia="Times New Roman" w:cs="Times New Roman"/>
                      <w:sz w:val="20"/>
                      <w:szCs w:val="20"/>
                    </w:rPr>
                    <w:br/>
                    <w:t>- в течение 10 предшествующих торговых дней непрерывно наблюдались двусторонние котировки, внутридневное количество которых не менее 10</w:t>
                  </w:r>
                  <w:r w:rsidR="00B34455" w:rsidRPr="00DB139A">
                    <w:rPr>
                      <w:rFonts w:eastAsia="Times New Roman" w:cs="Times New Roman"/>
                      <w:sz w:val="20"/>
                      <w:szCs w:val="20"/>
                    </w:rPr>
                    <w:t xml:space="preserve">(как пример, </w:t>
                  </w:r>
                  <w:r w:rsidR="00B34455" w:rsidRPr="00DB139A">
                    <w:rPr>
                      <w:sz w:val="20"/>
                      <w:szCs w:val="20"/>
                    </w:rPr>
                    <w:t xml:space="preserve">В </w:t>
                  </w:r>
                  <w:r w:rsidR="00B34455" w:rsidRPr="00DB139A">
                    <w:rPr>
                      <w:sz w:val="20"/>
                      <w:szCs w:val="20"/>
                      <w:lang w:val="en-US"/>
                    </w:rPr>
                    <w:t>BLM</w:t>
                  </w:r>
                  <w:r w:rsidR="00B34455" w:rsidRPr="00DB139A">
                    <w:rPr>
                      <w:sz w:val="20"/>
                      <w:szCs w:val="20"/>
                    </w:rPr>
                    <w:t xml:space="preserve"> функция </w:t>
                  </w:r>
                  <w:r w:rsidR="00B34455" w:rsidRPr="00DB139A">
                    <w:rPr>
                      <w:sz w:val="20"/>
                      <w:szCs w:val="20"/>
                      <w:lang w:val="en-US"/>
                    </w:rPr>
                    <w:t>QRM</w:t>
                  </w:r>
                  <w:r w:rsidR="00B34455" w:rsidRPr="00DB139A">
                    <w:rPr>
                      <w:sz w:val="20"/>
                      <w:szCs w:val="20"/>
                    </w:rPr>
                    <w:t>,</w:t>
                  </w:r>
                  <w:r w:rsidR="00B34455" w:rsidRPr="00DB139A">
                    <w:rPr>
                      <w:sz w:val="20"/>
                      <w:szCs w:val="20"/>
                      <w:lang w:val="en-US"/>
                    </w:rPr>
                    <w:t>trade</w:t>
                  </w:r>
                  <w:r w:rsidR="00B34455" w:rsidRPr="00DB139A">
                    <w:rPr>
                      <w:sz w:val="20"/>
                      <w:szCs w:val="20"/>
                    </w:rPr>
                    <w:t xml:space="preserve"> </w:t>
                  </w:r>
                  <w:r w:rsidR="00B34455" w:rsidRPr="00DB139A">
                    <w:rPr>
                      <w:sz w:val="20"/>
                      <w:szCs w:val="20"/>
                      <w:lang w:val="en-US"/>
                    </w:rPr>
                    <w:t>recap</w:t>
                  </w:r>
                  <w:r w:rsidR="00B34455" w:rsidRPr="00DB139A">
                    <w:rPr>
                      <w:sz w:val="20"/>
                      <w:szCs w:val="20"/>
                    </w:rPr>
                    <w:t>)</w:t>
                  </w:r>
                  <w:r w:rsidR="00B34455" w:rsidRPr="00DB139A">
                    <w:rPr>
                      <w:rFonts w:eastAsia="Times New Roman" w:cs="Times New Roman"/>
                      <w:sz w:val="20"/>
                      <w:szCs w:val="20"/>
                    </w:rPr>
                    <w:t xml:space="preserve"> </w:t>
                  </w:r>
                  <w:r w:rsidRPr="00DB139A">
                    <w:rPr>
                      <w:rFonts w:eastAsia="Times New Roman" w:cs="Times New Roman"/>
                      <w:sz w:val="20"/>
                      <w:szCs w:val="20"/>
                    </w:rPr>
                    <w:t xml:space="preserve">; </w:t>
                  </w:r>
                  <w:r w:rsidRPr="00DB139A">
                    <w:rPr>
                      <w:rFonts w:eastAsia="Times New Roman" w:cs="Times New Roman"/>
                      <w:sz w:val="20"/>
                      <w:szCs w:val="20"/>
                    </w:rPr>
                    <w:br/>
                    <w:t xml:space="preserve"> - спрэд между двусторонними котировками на дату определения СЧА составляет менее 20%, то есть отсутствует необходимость корректировать стоимость инструмента на рыночный риск, связанный с закрытием позиции (liquidity cost), поскольку Bid/ask спрэд обратно соотносится с ликвидностью и является оценкой транзакционных издержек.</w:t>
                  </w:r>
                </w:p>
              </w:tc>
            </w:tr>
          </w:tbl>
          <w:p w:rsidR="001E2BAE" w:rsidRPr="00DB139A" w:rsidRDefault="001E2BAE" w:rsidP="00DB139A">
            <w:pPr>
              <w:spacing w:after="0" w:line="240" w:lineRule="auto"/>
              <w:rPr>
                <w:rFonts w:eastAsia="Times New Roman" w:cs="Times New Roman"/>
                <w:color w:val="000000"/>
                <w:sz w:val="20"/>
                <w:szCs w:val="20"/>
              </w:rPr>
            </w:pPr>
          </w:p>
        </w:tc>
        <w:tc>
          <w:tcPr>
            <w:tcW w:w="2261"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отсутствует</w:t>
            </w:r>
          </w:p>
        </w:tc>
      </w:tr>
      <w:tr w:rsidR="001E2BAE" w:rsidRPr="00DB139A" w:rsidTr="00DB139A">
        <w:trPr>
          <w:trHeight w:val="1275"/>
        </w:trPr>
        <w:tc>
          <w:tcPr>
            <w:tcW w:w="1733" w:type="dxa"/>
            <w:vMerge/>
            <w:tcBorders>
              <w:top w:val="single" w:sz="4" w:space="0" w:color="auto"/>
              <w:left w:val="single" w:sz="4" w:space="0" w:color="auto"/>
              <w:bottom w:val="single" w:sz="4" w:space="0" w:color="000000"/>
              <w:right w:val="single" w:sz="4" w:space="0" w:color="auto"/>
            </w:tcBorders>
            <w:vAlign w:val="center"/>
            <w:hideMark/>
          </w:tcPr>
          <w:p w:rsidR="001E2BAE" w:rsidRPr="00DB139A" w:rsidRDefault="001E2BAE" w:rsidP="001E2BAE">
            <w:pPr>
              <w:spacing w:after="0" w:line="240" w:lineRule="auto"/>
              <w:rPr>
                <w:rFonts w:eastAsia="Times New Roman" w:cs="Times New Roman"/>
                <w:sz w:val="20"/>
                <w:szCs w:val="20"/>
              </w:rPr>
            </w:pPr>
          </w:p>
        </w:tc>
        <w:tc>
          <w:tcPr>
            <w:tcW w:w="1520"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jc w:val="center"/>
              <w:rPr>
                <w:rFonts w:eastAsia="Times New Roman" w:cs="Times New Roman"/>
                <w:sz w:val="20"/>
                <w:szCs w:val="20"/>
              </w:rPr>
            </w:pPr>
            <w:r w:rsidRPr="00DB139A">
              <w:rPr>
                <w:rFonts w:eastAsia="Times New Roman" w:cs="Times New Roman"/>
                <w:sz w:val="20"/>
                <w:szCs w:val="20"/>
              </w:rPr>
              <w:t xml:space="preserve">3 уровень </w:t>
            </w:r>
          </w:p>
        </w:tc>
        <w:tc>
          <w:tcPr>
            <w:tcW w:w="10219" w:type="dxa"/>
            <w:tcBorders>
              <w:top w:val="single" w:sz="4" w:space="0" w:color="auto"/>
              <w:left w:val="nil"/>
              <w:bottom w:val="single" w:sz="4" w:space="0" w:color="auto"/>
              <w:right w:val="nil"/>
            </w:tcBorders>
            <w:shd w:val="clear" w:color="auto" w:fill="auto"/>
            <w:hideMark/>
          </w:tcPr>
          <w:p w:rsidR="001E2BAE" w:rsidRPr="00DB139A" w:rsidRDefault="00DB139A" w:rsidP="00DB139A">
            <w:pPr>
              <w:spacing w:after="0" w:line="240" w:lineRule="auto"/>
              <w:rPr>
                <w:rFonts w:eastAsia="Times New Roman" w:cs="Times New Roman"/>
                <w:sz w:val="20"/>
                <w:szCs w:val="20"/>
              </w:rPr>
            </w:pPr>
            <w:r>
              <w:rPr>
                <w:rFonts w:eastAsia="Times New Roman" w:cs="Times New Roman"/>
                <w:sz w:val="20"/>
                <w:szCs w:val="20"/>
              </w:rPr>
              <w:t>О</w:t>
            </w:r>
            <w:r w:rsidR="001E2BAE" w:rsidRPr="00DB139A">
              <w:rPr>
                <w:rFonts w:eastAsia="Times New Roman" w:cs="Times New Roman"/>
                <w:sz w:val="20"/>
                <w:szCs w:val="20"/>
              </w:rPr>
              <w:t>ценка, на основании отчета оце</w:t>
            </w:r>
            <w:r w:rsidR="007E264A" w:rsidRPr="00DB139A">
              <w:rPr>
                <w:rFonts w:eastAsia="Times New Roman" w:cs="Times New Roman"/>
                <w:sz w:val="20"/>
                <w:szCs w:val="20"/>
              </w:rPr>
              <w:t>н</w:t>
            </w:r>
            <w:r w:rsidR="001E2BAE" w:rsidRPr="00DB139A">
              <w:rPr>
                <w:rFonts w:eastAsia="Times New Roman" w:cs="Times New Roman"/>
                <w:sz w:val="20"/>
                <w:szCs w:val="20"/>
              </w:rPr>
              <w:t>щика, составленного не позднее 6 месяцев до даты определения СЧА</w:t>
            </w:r>
          </w:p>
        </w:tc>
        <w:tc>
          <w:tcPr>
            <w:tcW w:w="2261" w:type="dxa"/>
            <w:tcBorders>
              <w:top w:val="nil"/>
              <w:left w:val="single" w:sz="4" w:space="0" w:color="auto"/>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оценка, на основании отчета оценщика, составленного не позднее 6 месяцев до даты определения СЧА</w:t>
            </w:r>
          </w:p>
        </w:tc>
      </w:tr>
      <w:tr w:rsidR="001E2BAE" w:rsidRPr="00DB139A" w:rsidTr="00DB139A">
        <w:trPr>
          <w:trHeight w:val="1095"/>
        </w:trPr>
        <w:tc>
          <w:tcPr>
            <w:tcW w:w="1733" w:type="dxa"/>
            <w:vMerge w:val="restart"/>
            <w:tcBorders>
              <w:top w:val="nil"/>
              <w:left w:val="single" w:sz="4" w:space="0" w:color="auto"/>
              <w:bottom w:val="single" w:sz="4" w:space="0" w:color="000000"/>
              <w:right w:val="single" w:sz="4" w:space="0" w:color="auto"/>
            </w:tcBorders>
            <w:shd w:val="clear" w:color="auto" w:fill="auto"/>
            <w:vAlign w:val="center"/>
            <w:hideMark/>
          </w:tcPr>
          <w:p w:rsidR="001E2BAE" w:rsidRPr="00DB139A" w:rsidRDefault="001E2BAE" w:rsidP="001E2BAE">
            <w:pPr>
              <w:spacing w:after="0" w:line="240" w:lineRule="auto"/>
              <w:jc w:val="center"/>
              <w:rPr>
                <w:rFonts w:eastAsia="Times New Roman" w:cs="Times New Roman"/>
                <w:sz w:val="20"/>
                <w:szCs w:val="20"/>
              </w:rPr>
            </w:pPr>
            <w:r w:rsidRPr="00DB139A">
              <w:rPr>
                <w:rFonts w:eastAsia="Times New Roman" w:cs="Times New Roman"/>
                <w:sz w:val="20"/>
                <w:szCs w:val="20"/>
              </w:rPr>
              <w:t xml:space="preserve">• Облигация внешних облигационных займов </w:t>
            </w:r>
            <w:r w:rsidRPr="00DB139A">
              <w:rPr>
                <w:rFonts w:eastAsia="Times New Roman" w:cs="Times New Roman"/>
                <w:sz w:val="20"/>
                <w:szCs w:val="20"/>
              </w:rPr>
              <w:lastRenderedPageBreak/>
              <w:t xml:space="preserve">Российской Федерации; </w:t>
            </w:r>
            <w:r w:rsidRPr="00DB139A">
              <w:rPr>
                <w:rFonts w:eastAsia="Times New Roman" w:cs="Times New Roman"/>
                <w:sz w:val="20"/>
                <w:szCs w:val="20"/>
              </w:rPr>
              <w:br/>
              <w:t xml:space="preserve">• Долговая ценная бумага иностранных государств; </w:t>
            </w:r>
            <w:r w:rsidRPr="00DB139A">
              <w:rPr>
                <w:rFonts w:eastAsia="Times New Roman" w:cs="Times New Roman"/>
                <w:sz w:val="20"/>
                <w:szCs w:val="20"/>
              </w:rPr>
              <w:br/>
              <w:t xml:space="preserve">• Еврооблигация иностранного эмитента, долговая ценная бумага иностранного государства; </w:t>
            </w:r>
            <w:r w:rsidRPr="00DB139A">
              <w:rPr>
                <w:rFonts w:eastAsia="Times New Roman" w:cs="Times New Roman"/>
                <w:sz w:val="20"/>
                <w:szCs w:val="20"/>
              </w:rPr>
              <w:br/>
              <w:t>• Ценная бумага международной финансовой организации.</w:t>
            </w:r>
          </w:p>
        </w:tc>
        <w:tc>
          <w:tcPr>
            <w:tcW w:w="1520"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jc w:val="center"/>
              <w:rPr>
                <w:rFonts w:eastAsia="Times New Roman" w:cs="Times New Roman"/>
                <w:sz w:val="20"/>
                <w:szCs w:val="20"/>
              </w:rPr>
            </w:pPr>
            <w:r w:rsidRPr="00DB139A">
              <w:rPr>
                <w:rFonts w:eastAsia="Times New Roman" w:cs="Times New Roman"/>
                <w:sz w:val="20"/>
                <w:szCs w:val="20"/>
              </w:rPr>
              <w:lastRenderedPageBreak/>
              <w:t>1 уровень</w:t>
            </w:r>
          </w:p>
        </w:tc>
        <w:tc>
          <w:tcPr>
            <w:tcW w:w="10219" w:type="dxa"/>
            <w:tcBorders>
              <w:top w:val="single" w:sz="4" w:space="0" w:color="auto"/>
              <w:left w:val="nil"/>
              <w:bottom w:val="single" w:sz="4" w:space="0" w:color="auto"/>
              <w:right w:val="nil"/>
            </w:tcBorders>
            <w:shd w:val="clear" w:color="auto" w:fill="auto"/>
            <w:hideMark/>
          </w:tcPr>
          <w:p w:rsidR="001E2BAE" w:rsidRPr="00DB139A" w:rsidRDefault="001E2BAE" w:rsidP="0055784D">
            <w:pPr>
              <w:shd w:val="clear" w:color="auto" w:fill="FFFFFF"/>
              <w:spacing w:after="0" w:line="240" w:lineRule="auto"/>
              <w:rPr>
                <w:rFonts w:eastAsia="Times New Roman" w:cs="Times New Roman"/>
                <w:sz w:val="20"/>
                <w:szCs w:val="20"/>
              </w:rPr>
            </w:pPr>
          </w:p>
        </w:tc>
        <w:tc>
          <w:tcPr>
            <w:tcW w:w="2261" w:type="dxa"/>
            <w:tcBorders>
              <w:top w:val="nil"/>
              <w:left w:val="single" w:sz="4" w:space="0" w:color="auto"/>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 xml:space="preserve">отсутствует </w:t>
            </w:r>
          </w:p>
        </w:tc>
        <w:bookmarkStart w:id="1" w:name="_GoBack"/>
        <w:bookmarkEnd w:id="1"/>
      </w:tr>
      <w:tr w:rsidR="001E2BAE" w:rsidRPr="00DB139A" w:rsidTr="00DB139A">
        <w:trPr>
          <w:trHeight w:val="1440"/>
        </w:trPr>
        <w:tc>
          <w:tcPr>
            <w:tcW w:w="1733" w:type="dxa"/>
            <w:vMerge/>
            <w:tcBorders>
              <w:top w:val="nil"/>
              <w:left w:val="single" w:sz="4" w:space="0" w:color="auto"/>
              <w:bottom w:val="single" w:sz="4" w:space="0" w:color="000000"/>
              <w:right w:val="single" w:sz="4" w:space="0" w:color="auto"/>
            </w:tcBorders>
            <w:vAlign w:val="center"/>
            <w:hideMark/>
          </w:tcPr>
          <w:p w:rsidR="001E2BAE" w:rsidRPr="00DB139A" w:rsidRDefault="001E2BAE" w:rsidP="001E2BAE">
            <w:pPr>
              <w:spacing w:after="0" w:line="240" w:lineRule="auto"/>
              <w:rPr>
                <w:rFonts w:eastAsia="Times New Roman" w:cs="Times New Roman"/>
                <w:sz w:val="20"/>
                <w:szCs w:val="20"/>
              </w:rPr>
            </w:pPr>
          </w:p>
        </w:tc>
        <w:tc>
          <w:tcPr>
            <w:tcW w:w="1520"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jc w:val="center"/>
              <w:rPr>
                <w:rFonts w:eastAsia="Times New Roman" w:cs="Times New Roman"/>
                <w:sz w:val="20"/>
                <w:szCs w:val="20"/>
              </w:rPr>
            </w:pPr>
            <w:r w:rsidRPr="00DB139A">
              <w:rPr>
                <w:rFonts w:eastAsia="Times New Roman" w:cs="Times New Roman"/>
                <w:sz w:val="20"/>
                <w:szCs w:val="20"/>
              </w:rPr>
              <w:t xml:space="preserve">2 уровень </w:t>
            </w:r>
          </w:p>
        </w:tc>
        <w:tc>
          <w:tcPr>
            <w:tcW w:w="10219" w:type="dxa"/>
            <w:tcBorders>
              <w:top w:val="single" w:sz="4" w:space="0" w:color="auto"/>
              <w:left w:val="nil"/>
              <w:bottom w:val="single" w:sz="4" w:space="0" w:color="auto"/>
              <w:right w:val="single" w:sz="4" w:space="0" w:color="auto"/>
            </w:tcBorders>
            <w:shd w:val="clear" w:color="auto" w:fill="auto"/>
            <w:hideMark/>
          </w:tcPr>
          <w:p w:rsidR="001E2BAE" w:rsidRPr="00DB139A" w:rsidRDefault="001E2BAE" w:rsidP="00DB139A">
            <w:pPr>
              <w:spacing w:after="0" w:line="240" w:lineRule="auto"/>
              <w:rPr>
                <w:rFonts w:eastAsia="Times New Roman" w:cs="Times New Roman"/>
                <w:sz w:val="20"/>
                <w:szCs w:val="20"/>
              </w:rPr>
            </w:pPr>
            <w:r w:rsidRPr="00DB139A">
              <w:rPr>
                <w:rFonts w:eastAsia="Times New Roman" w:cs="Times New Roman"/>
                <w:b/>
                <w:bCs/>
                <w:sz w:val="20"/>
                <w:szCs w:val="20"/>
              </w:rPr>
              <w:t>В порядке убывания приоритета:</w:t>
            </w:r>
            <w:r w:rsidRPr="00DB139A">
              <w:rPr>
                <w:rFonts w:eastAsia="Times New Roman" w:cs="Times New Roman"/>
                <w:sz w:val="20"/>
                <w:szCs w:val="20"/>
              </w:rPr>
              <w:br/>
              <w:t xml:space="preserve">1) Цена BGN </w:t>
            </w:r>
            <w:r w:rsidRPr="00DB139A">
              <w:rPr>
                <w:rFonts w:eastAsia="Times New Roman" w:cs="Times New Roman"/>
                <w:color w:val="FF0000"/>
                <w:sz w:val="20"/>
                <w:szCs w:val="20"/>
              </w:rPr>
              <w:t>(Last Price)</w:t>
            </w:r>
            <w:r w:rsidRPr="00DB139A">
              <w:rPr>
                <w:rFonts w:eastAsia="Times New Roman" w:cs="Times New Roman"/>
                <w:sz w:val="20"/>
                <w:szCs w:val="20"/>
              </w:rPr>
              <w:t xml:space="preserve">, раскрываемая информационной системой "Блумберг" (Bloomberg) на дату определения СЧА; </w:t>
            </w:r>
            <w:r w:rsidRPr="00DB139A">
              <w:rPr>
                <w:rFonts w:eastAsia="Times New Roman" w:cs="Times New Roman"/>
                <w:sz w:val="20"/>
                <w:szCs w:val="20"/>
              </w:rPr>
              <w:br/>
              <w:t xml:space="preserve">2) Цена BVAL </w:t>
            </w:r>
            <w:r w:rsidRPr="00DB139A">
              <w:rPr>
                <w:rFonts w:eastAsia="Times New Roman" w:cs="Times New Roman"/>
                <w:color w:val="FF0000"/>
                <w:sz w:val="20"/>
                <w:szCs w:val="20"/>
              </w:rPr>
              <w:t>(Mid BVAL)</w:t>
            </w:r>
            <w:r w:rsidRPr="00DB139A">
              <w:rPr>
                <w:rFonts w:eastAsia="Times New Roman" w:cs="Times New Roman"/>
                <w:sz w:val="20"/>
                <w:szCs w:val="20"/>
              </w:rPr>
              <w:t>, раскрываемая информационной системой "Блумберг" (Bloomberg) на дату определения СЧА</w:t>
            </w:r>
            <w:r w:rsidR="00EA702F" w:rsidRPr="00DB139A">
              <w:rPr>
                <w:rFonts w:eastAsia="Times New Roman" w:cs="Times New Roman"/>
                <w:sz w:val="20"/>
                <w:szCs w:val="20"/>
              </w:rPr>
              <w:t xml:space="preserve"> </w:t>
            </w:r>
          </w:p>
          <w:p w:rsidR="001E2BAE" w:rsidRPr="00DB139A" w:rsidRDefault="00C93544" w:rsidP="00DB139A">
            <w:pPr>
              <w:shd w:val="clear" w:color="auto" w:fill="FFFFFF"/>
              <w:spacing w:after="0" w:line="240" w:lineRule="auto"/>
              <w:rPr>
                <w:rFonts w:eastAsia="Times New Roman" w:cs="Times New Roman"/>
                <w:sz w:val="20"/>
                <w:szCs w:val="20"/>
              </w:rPr>
            </w:pPr>
            <w:r w:rsidRPr="00DB139A">
              <w:rPr>
                <w:rFonts w:eastAsia="Times New Roman" w:cs="Times New Roman"/>
                <w:sz w:val="20"/>
                <w:szCs w:val="20"/>
              </w:rPr>
              <w:t>Правилами определения СЧА может быть предусмотрен иной порядок определения справедливой стоимости</w:t>
            </w:r>
          </w:p>
        </w:tc>
        <w:tc>
          <w:tcPr>
            <w:tcW w:w="2261"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 xml:space="preserve">отсутствует </w:t>
            </w:r>
          </w:p>
        </w:tc>
      </w:tr>
      <w:tr w:rsidR="001E2BAE" w:rsidRPr="00DB139A" w:rsidTr="00DB139A">
        <w:trPr>
          <w:trHeight w:val="1686"/>
        </w:trPr>
        <w:tc>
          <w:tcPr>
            <w:tcW w:w="1733" w:type="dxa"/>
            <w:vMerge/>
            <w:tcBorders>
              <w:top w:val="nil"/>
              <w:left w:val="single" w:sz="4" w:space="0" w:color="auto"/>
              <w:bottom w:val="single" w:sz="4" w:space="0" w:color="000000"/>
              <w:right w:val="single" w:sz="4" w:space="0" w:color="auto"/>
            </w:tcBorders>
            <w:vAlign w:val="center"/>
            <w:hideMark/>
          </w:tcPr>
          <w:p w:rsidR="001E2BAE" w:rsidRPr="00DB139A" w:rsidRDefault="001E2BAE" w:rsidP="001E2BAE">
            <w:pPr>
              <w:spacing w:after="0" w:line="240" w:lineRule="auto"/>
              <w:rPr>
                <w:rFonts w:eastAsia="Times New Roman" w:cs="Times New Roman"/>
                <w:sz w:val="20"/>
                <w:szCs w:val="20"/>
              </w:rPr>
            </w:pPr>
          </w:p>
        </w:tc>
        <w:tc>
          <w:tcPr>
            <w:tcW w:w="1520"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jc w:val="center"/>
              <w:rPr>
                <w:rFonts w:eastAsia="Times New Roman" w:cs="Times New Roman"/>
                <w:sz w:val="20"/>
                <w:szCs w:val="20"/>
              </w:rPr>
            </w:pPr>
            <w:r w:rsidRPr="00DB139A">
              <w:rPr>
                <w:rFonts w:eastAsia="Times New Roman" w:cs="Times New Roman"/>
                <w:sz w:val="20"/>
                <w:szCs w:val="20"/>
              </w:rPr>
              <w:t xml:space="preserve">3 уровень </w:t>
            </w:r>
          </w:p>
        </w:tc>
        <w:tc>
          <w:tcPr>
            <w:tcW w:w="10219" w:type="dxa"/>
            <w:tcBorders>
              <w:top w:val="nil"/>
              <w:left w:val="nil"/>
              <w:bottom w:val="single" w:sz="4" w:space="0" w:color="auto"/>
              <w:right w:val="single" w:sz="4" w:space="0" w:color="auto"/>
            </w:tcBorders>
            <w:shd w:val="clear" w:color="auto" w:fill="auto"/>
            <w:hideMark/>
          </w:tcPr>
          <w:p w:rsidR="001E2BAE" w:rsidRPr="00DB139A" w:rsidRDefault="001E2BAE" w:rsidP="00DB139A">
            <w:pPr>
              <w:spacing w:after="0" w:line="240" w:lineRule="auto"/>
              <w:rPr>
                <w:rFonts w:eastAsia="Times New Roman" w:cs="Times New Roman"/>
                <w:sz w:val="20"/>
                <w:szCs w:val="20"/>
              </w:rPr>
            </w:pPr>
            <w:r w:rsidRPr="00DB139A">
              <w:rPr>
                <w:rFonts w:eastAsia="Times New Roman" w:cs="Times New Roman"/>
                <w:sz w:val="20"/>
                <w:szCs w:val="20"/>
              </w:rPr>
              <w:t>Оценка, на основании отчета оце</w:t>
            </w:r>
            <w:r w:rsidR="007E264A" w:rsidRPr="00DB139A">
              <w:rPr>
                <w:rFonts w:eastAsia="Times New Roman" w:cs="Times New Roman"/>
                <w:sz w:val="20"/>
                <w:szCs w:val="20"/>
              </w:rPr>
              <w:t>н</w:t>
            </w:r>
            <w:r w:rsidRPr="00DB139A">
              <w:rPr>
                <w:rFonts w:eastAsia="Times New Roman" w:cs="Times New Roman"/>
                <w:sz w:val="20"/>
                <w:szCs w:val="20"/>
              </w:rPr>
              <w:t>щика, составленного не позднее 6 месяцев до даты определения СЧА</w:t>
            </w:r>
            <w:r w:rsidR="00C8443F" w:rsidRPr="00DB139A">
              <w:rPr>
                <w:rFonts w:eastAsia="Times New Roman" w:cs="Times New Roman"/>
                <w:sz w:val="20"/>
                <w:szCs w:val="20"/>
              </w:rPr>
              <w:t>.</w:t>
            </w:r>
          </w:p>
          <w:p w:rsidR="00430C33" w:rsidRPr="00DB139A" w:rsidRDefault="00430C33" w:rsidP="00DB139A">
            <w:pPr>
              <w:spacing w:after="0" w:line="240" w:lineRule="auto"/>
              <w:rPr>
                <w:rFonts w:eastAsia="Times New Roman" w:cs="Times New Roman"/>
                <w:sz w:val="20"/>
                <w:szCs w:val="20"/>
              </w:rPr>
            </w:pPr>
          </w:p>
          <w:p w:rsidR="00CF37C8" w:rsidRPr="00DB139A" w:rsidRDefault="00CF37C8" w:rsidP="00DB139A">
            <w:pPr>
              <w:spacing w:after="0" w:line="240" w:lineRule="auto"/>
              <w:rPr>
                <w:rFonts w:eastAsia="Times New Roman" w:cs="Times New Roman"/>
                <w:sz w:val="20"/>
                <w:szCs w:val="20"/>
              </w:rPr>
            </w:pPr>
          </w:p>
        </w:tc>
        <w:tc>
          <w:tcPr>
            <w:tcW w:w="2261"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Оценка, на основании отчета оценщика, составленного не позднее 6 месяцев до даты определения СЧА</w:t>
            </w:r>
          </w:p>
        </w:tc>
      </w:tr>
      <w:tr w:rsidR="001E2BAE" w:rsidRPr="00DB139A" w:rsidTr="00DB139A">
        <w:trPr>
          <w:trHeight w:val="615"/>
        </w:trPr>
        <w:tc>
          <w:tcPr>
            <w:tcW w:w="1733" w:type="dxa"/>
            <w:vMerge w:val="restart"/>
            <w:tcBorders>
              <w:top w:val="nil"/>
              <w:left w:val="single" w:sz="4" w:space="0" w:color="auto"/>
              <w:bottom w:val="single" w:sz="4" w:space="0" w:color="000000"/>
              <w:right w:val="single" w:sz="4" w:space="0" w:color="auto"/>
            </w:tcBorders>
            <w:shd w:val="clear" w:color="auto" w:fill="auto"/>
            <w:vAlign w:val="center"/>
            <w:hideMark/>
          </w:tcPr>
          <w:p w:rsidR="001E2BAE" w:rsidRPr="00DB139A" w:rsidRDefault="001E2BAE" w:rsidP="001E2BAE">
            <w:pPr>
              <w:spacing w:after="0" w:line="240" w:lineRule="auto"/>
              <w:jc w:val="center"/>
              <w:rPr>
                <w:rFonts w:eastAsia="Times New Roman" w:cs="Times New Roman"/>
                <w:sz w:val="20"/>
                <w:szCs w:val="20"/>
              </w:rPr>
            </w:pPr>
            <w:r w:rsidRPr="00DB139A">
              <w:rPr>
                <w:rFonts w:eastAsia="Times New Roman" w:cs="Times New Roman"/>
                <w:sz w:val="20"/>
                <w:szCs w:val="20"/>
              </w:rPr>
              <w:t>Инвестиционные паи российских паевых инвестиционных фондов, ипотечные сертификаты участия</w:t>
            </w:r>
          </w:p>
        </w:tc>
        <w:tc>
          <w:tcPr>
            <w:tcW w:w="1520"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jc w:val="center"/>
              <w:rPr>
                <w:rFonts w:eastAsia="Times New Roman" w:cs="Times New Roman"/>
                <w:sz w:val="20"/>
                <w:szCs w:val="20"/>
              </w:rPr>
            </w:pPr>
            <w:r w:rsidRPr="00DB139A">
              <w:rPr>
                <w:rFonts w:eastAsia="Times New Roman" w:cs="Times New Roman"/>
                <w:sz w:val="20"/>
                <w:szCs w:val="20"/>
              </w:rPr>
              <w:t xml:space="preserve">1 уровень </w:t>
            </w:r>
          </w:p>
        </w:tc>
        <w:tc>
          <w:tcPr>
            <w:tcW w:w="10219" w:type="dxa"/>
            <w:tcBorders>
              <w:top w:val="nil"/>
              <w:left w:val="nil"/>
              <w:bottom w:val="single" w:sz="4" w:space="0" w:color="auto"/>
              <w:right w:val="single" w:sz="4" w:space="0" w:color="auto"/>
            </w:tcBorders>
            <w:shd w:val="clear" w:color="auto" w:fill="auto"/>
            <w:hideMark/>
          </w:tcPr>
          <w:p w:rsidR="001E2BAE" w:rsidRPr="00DB139A" w:rsidRDefault="001E2BAE" w:rsidP="00DB139A">
            <w:pPr>
              <w:spacing w:after="0" w:line="240" w:lineRule="auto"/>
              <w:rPr>
                <w:rFonts w:eastAsia="Times New Roman" w:cs="Times New Roman"/>
                <w:color w:val="FF0000"/>
                <w:sz w:val="20"/>
                <w:szCs w:val="20"/>
              </w:rPr>
            </w:pPr>
            <w:r w:rsidRPr="00DB139A">
              <w:rPr>
                <w:rFonts w:eastAsia="Times New Roman" w:cs="Times New Roman"/>
                <w:color w:val="FF0000"/>
                <w:sz w:val="20"/>
                <w:szCs w:val="20"/>
              </w:rPr>
              <w:t>Приоритет цен</w:t>
            </w:r>
            <w:r w:rsidR="007E264A" w:rsidRPr="00DB139A">
              <w:rPr>
                <w:rFonts w:eastAsia="Times New Roman" w:cs="Times New Roman"/>
                <w:color w:val="FF0000"/>
                <w:sz w:val="20"/>
                <w:szCs w:val="20"/>
              </w:rPr>
              <w:t>,</w:t>
            </w:r>
            <w:r w:rsidRPr="00DB139A">
              <w:rPr>
                <w:rFonts w:eastAsia="Times New Roman" w:cs="Times New Roman"/>
                <w:color w:val="FF0000"/>
                <w:sz w:val="20"/>
                <w:szCs w:val="20"/>
              </w:rPr>
              <w:t xml:space="preserve"> аналогичный торгуемым российским ценным бумагам (см. п. 1)</w:t>
            </w:r>
          </w:p>
        </w:tc>
        <w:tc>
          <w:tcPr>
            <w:tcW w:w="2261"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отсутствует</w:t>
            </w:r>
          </w:p>
        </w:tc>
      </w:tr>
      <w:tr w:rsidR="001E2BAE" w:rsidRPr="00DB139A" w:rsidTr="00DB139A">
        <w:trPr>
          <w:trHeight w:val="2085"/>
        </w:trPr>
        <w:tc>
          <w:tcPr>
            <w:tcW w:w="1733" w:type="dxa"/>
            <w:vMerge/>
            <w:tcBorders>
              <w:top w:val="nil"/>
              <w:left w:val="single" w:sz="4" w:space="0" w:color="auto"/>
              <w:bottom w:val="single" w:sz="4" w:space="0" w:color="000000"/>
              <w:right w:val="single" w:sz="4" w:space="0" w:color="auto"/>
            </w:tcBorders>
            <w:vAlign w:val="center"/>
            <w:hideMark/>
          </w:tcPr>
          <w:p w:rsidR="001E2BAE" w:rsidRPr="00DB139A" w:rsidRDefault="001E2BAE" w:rsidP="001E2BAE">
            <w:pPr>
              <w:spacing w:after="0" w:line="240" w:lineRule="auto"/>
              <w:rPr>
                <w:rFonts w:eastAsia="Times New Roman" w:cs="Times New Roman"/>
                <w:sz w:val="20"/>
                <w:szCs w:val="20"/>
              </w:rPr>
            </w:pPr>
          </w:p>
        </w:tc>
        <w:tc>
          <w:tcPr>
            <w:tcW w:w="1520"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jc w:val="center"/>
              <w:rPr>
                <w:rFonts w:eastAsia="Times New Roman" w:cs="Times New Roman"/>
                <w:sz w:val="20"/>
                <w:szCs w:val="20"/>
              </w:rPr>
            </w:pPr>
            <w:r w:rsidRPr="00DB139A">
              <w:rPr>
                <w:rFonts w:eastAsia="Times New Roman" w:cs="Times New Roman"/>
                <w:sz w:val="20"/>
                <w:szCs w:val="20"/>
              </w:rPr>
              <w:t xml:space="preserve">2 уровень </w:t>
            </w:r>
          </w:p>
        </w:tc>
        <w:tc>
          <w:tcPr>
            <w:tcW w:w="10219" w:type="dxa"/>
            <w:tcBorders>
              <w:top w:val="nil"/>
              <w:left w:val="nil"/>
              <w:bottom w:val="single" w:sz="4" w:space="0" w:color="auto"/>
              <w:right w:val="single" w:sz="4" w:space="0" w:color="auto"/>
            </w:tcBorders>
            <w:shd w:val="clear" w:color="auto" w:fill="auto"/>
            <w:hideMark/>
          </w:tcPr>
          <w:p w:rsidR="001E2BAE" w:rsidRPr="00DB139A" w:rsidRDefault="001E2BAE" w:rsidP="00DB139A">
            <w:pPr>
              <w:spacing w:after="0" w:line="240" w:lineRule="auto"/>
              <w:rPr>
                <w:rFonts w:eastAsia="Times New Roman" w:cs="Times New Roman"/>
                <w:sz w:val="20"/>
                <w:szCs w:val="20"/>
              </w:rPr>
            </w:pPr>
            <w:r w:rsidRPr="00DB139A">
              <w:rPr>
                <w:rFonts w:eastAsia="Times New Roman" w:cs="Times New Roman"/>
                <w:sz w:val="20"/>
                <w:szCs w:val="20"/>
              </w:rPr>
              <w:t>расчетная стоимость, раскрытая / предоставленная управляющей компанией ПИФ/ ипотечного покрытия, в сроки, предусмотренные нормативными актами Банка России</w:t>
            </w:r>
          </w:p>
        </w:tc>
        <w:tc>
          <w:tcPr>
            <w:tcW w:w="2261" w:type="dxa"/>
            <w:tcBorders>
              <w:top w:val="nil"/>
              <w:left w:val="nil"/>
              <w:bottom w:val="single" w:sz="4" w:space="0" w:color="auto"/>
              <w:right w:val="single" w:sz="4" w:space="0" w:color="auto"/>
            </w:tcBorders>
            <w:shd w:val="clear" w:color="auto" w:fill="auto"/>
            <w:vAlign w:val="bottom"/>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 xml:space="preserve">расчетная стоимость, раскрытая / предоставленная управляющей компанией ПИФ/ ипотечного покрытия                       </w:t>
            </w:r>
          </w:p>
        </w:tc>
      </w:tr>
      <w:tr w:rsidR="001E2BAE" w:rsidRPr="00DB139A" w:rsidTr="00DB139A">
        <w:trPr>
          <w:trHeight w:val="1290"/>
        </w:trPr>
        <w:tc>
          <w:tcPr>
            <w:tcW w:w="1733" w:type="dxa"/>
            <w:vMerge/>
            <w:tcBorders>
              <w:top w:val="nil"/>
              <w:left w:val="single" w:sz="4" w:space="0" w:color="auto"/>
              <w:bottom w:val="single" w:sz="4" w:space="0" w:color="000000"/>
              <w:right w:val="single" w:sz="4" w:space="0" w:color="auto"/>
            </w:tcBorders>
            <w:vAlign w:val="center"/>
            <w:hideMark/>
          </w:tcPr>
          <w:p w:rsidR="001E2BAE" w:rsidRPr="00DB139A" w:rsidRDefault="001E2BAE" w:rsidP="001E2BAE">
            <w:pPr>
              <w:spacing w:after="0" w:line="240" w:lineRule="auto"/>
              <w:rPr>
                <w:rFonts w:eastAsia="Times New Roman" w:cs="Times New Roman"/>
                <w:sz w:val="20"/>
                <w:szCs w:val="20"/>
              </w:rPr>
            </w:pPr>
          </w:p>
        </w:tc>
        <w:tc>
          <w:tcPr>
            <w:tcW w:w="1520"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jc w:val="center"/>
              <w:rPr>
                <w:rFonts w:eastAsia="Times New Roman" w:cs="Times New Roman"/>
                <w:sz w:val="20"/>
                <w:szCs w:val="20"/>
              </w:rPr>
            </w:pPr>
            <w:r w:rsidRPr="00DB139A">
              <w:rPr>
                <w:rFonts w:eastAsia="Times New Roman" w:cs="Times New Roman"/>
                <w:sz w:val="20"/>
                <w:szCs w:val="20"/>
              </w:rPr>
              <w:t xml:space="preserve">3 уровень </w:t>
            </w:r>
          </w:p>
        </w:tc>
        <w:tc>
          <w:tcPr>
            <w:tcW w:w="10219" w:type="dxa"/>
            <w:tcBorders>
              <w:top w:val="nil"/>
              <w:left w:val="nil"/>
              <w:bottom w:val="single" w:sz="4" w:space="0" w:color="auto"/>
              <w:right w:val="single" w:sz="4" w:space="0" w:color="auto"/>
            </w:tcBorders>
            <w:shd w:val="clear" w:color="auto" w:fill="auto"/>
            <w:hideMark/>
          </w:tcPr>
          <w:p w:rsidR="001E2BAE" w:rsidRPr="00DB139A" w:rsidRDefault="001E2BAE" w:rsidP="00DB139A">
            <w:pPr>
              <w:spacing w:after="0" w:line="240" w:lineRule="auto"/>
              <w:rPr>
                <w:rFonts w:eastAsia="Times New Roman" w:cs="Times New Roman"/>
                <w:sz w:val="20"/>
                <w:szCs w:val="20"/>
              </w:rPr>
            </w:pPr>
            <w:r w:rsidRPr="00DB139A">
              <w:rPr>
                <w:rFonts w:eastAsia="Times New Roman" w:cs="Times New Roman"/>
                <w:sz w:val="20"/>
                <w:szCs w:val="20"/>
              </w:rPr>
              <w:t>оценка, на основании отчета оце</w:t>
            </w:r>
            <w:r w:rsidR="00075B47" w:rsidRPr="00DB139A">
              <w:rPr>
                <w:rFonts w:eastAsia="Times New Roman" w:cs="Times New Roman"/>
                <w:sz w:val="20"/>
                <w:szCs w:val="20"/>
              </w:rPr>
              <w:t>н</w:t>
            </w:r>
            <w:r w:rsidRPr="00DB139A">
              <w:rPr>
                <w:rFonts w:eastAsia="Times New Roman" w:cs="Times New Roman"/>
                <w:sz w:val="20"/>
                <w:szCs w:val="20"/>
              </w:rPr>
              <w:t>щика, составленного не позднее 6 месяцев до даты определения СЧА</w:t>
            </w:r>
          </w:p>
        </w:tc>
        <w:tc>
          <w:tcPr>
            <w:tcW w:w="2261" w:type="dxa"/>
            <w:tcBorders>
              <w:top w:val="nil"/>
              <w:left w:val="nil"/>
              <w:bottom w:val="single" w:sz="4" w:space="0" w:color="auto"/>
              <w:right w:val="single" w:sz="4" w:space="0" w:color="auto"/>
            </w:tcBorders>
            <w:shd w:val="clear" w:color="auto" w:fill="auto"/>
            <w:vAlign w:val="bottom"/>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оценка, на основании отчета оце</w:t>
            </w:r>
            <w:r w:rsidR="00B53E7F" w:rsidRPr="00DB139A">
              <w:rPr>
                <w:rFonts w:eastAsia="Times New Roman" w:cs="Times New Roman"/>
                <w:sz w:val="20"/>
                <w:szCs w:val="20"/>
              </w:rPr>
              <w:t>н</w:t>
            </w:r>
            <w:r w:rsidRPr="00DB139A">
              <w:rPr>
                <w:rFonts w:eastAsia="Times New Roman" w:cs="Times New Roman"/>
                <w:sz w:val="20"/>
                <w:szCs w:val="20"/>
              </w:rPr>
              <w:t>щика, составленного не позднее 6 месяцев до даты определения СЧА</w:t>
            </w:r>
          </w:p>
        </w:tc>
      </w:tr>
      <w:tr w:rsidR="001E2BAE" w:rsidRPr="00DB139A" w:rsidTr="00DB139A">
        <w:trPr>
          <w:trHeight w:val="8190"/>
        </w:trPr>
        <w:tc>
          <w:tcPr>
            <w:tcW w:w="1733" w:type="dxa"/>
            <w:tcBorders>
              <w:top w:val="nil"/>
              <w:left w:val="single" w:sz="4" w:space="0" w:color="auto"/>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lastRenderedPageBreak/>
              <w:t>Производные финансовые инструменты, СВОП</w:t>
            </w:r>
          </w:p>
        </w:tc>
        <w:tc>
          <w:tcPr>
            <w:tcW w:w="1520" w:type="dxa"/>
            <w:tcBorders>
              <w:top w:val="nil"/>
              <w:left w:val="nil"/>
              <w:bottom w:val="single" w:sz="4" w:space="0" w:color="auto"/>
              <w:right w:val="single" w:sz="4" w:space="0" w:color="auto"/>
            </w:tcBorders>
            <w:shd w:val="clear" w:color="auto" w:fill="auto"/>
            <w:vAlign w:val="center"/>
            <w:hideMark/>
          </w:tcPr>
          <w:p w:rsidR="00181D63" w:rsidRPr="00DB139A" w:rsidRDefault="00181D63" w:rsidP="001E2BAE">
            <w:pPr>
              <w:spacing w:after="0" w:line="240" w:lineRule="auto"/>
              <w:jc w:val="center"/>
              <w:rPr>
                <w:rFonts w:eastAsia="Times New Roman" w:cs="Times New Roman"/>
                <w:sz w:val="20"/>
                <w:szCs w:val="20"/>
              </w:rPr>
            </w:pPr>
            <w:r w:rsidRPr="00DB139A">
              <w:rPr>
                <w:rFonts w:eastAsia="Times New Roman" w:cs="Times New Roman"/>
                <w:sz w:val="20"/>
                <w:szCs w:val="20"/>
              </w:rPr>
              <w:t>1 уровень</w:t>
            </w: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81D63" w:rsidRPr="00DB139A" w:rsidRDefault="00181D63" w:rsidP="001E2BAE">
            <w:pPr>
              <w:spacing w:after="0" w:line="240" w:lineRule="auto"/>
              <w:jc w:val="center"/>
              <w:rPr>
                <w:rFonts w:eastAsia="Times New Roman" w:cs="Times New Roman"/>
                <w:sz w:val="20"/>
                <w:szCs w:val="20"/>
              </w:rPr>
            </w:pPr>
          </w:p>
          <w:p w:rsidR="001E2BAE" w:rsidRPr="00DB139A" w:rsidRDefault="00181D63" w:rsidP="001E2BAE">
            <w:pPr>
              <w:spacing w:after="0" w:line="240" w:lineRule="auto"/>
              <w:jc w:val="center"/>
              <w:rPr>
                <w:rFonts w:eastAsia="Times New Roman" w:cs="Times New Roman"/>
                <w:sz w:val="20"/>
                <w:szCs w:val="20"/>
              </w:rPr>
            </w:pPr>
            <w:r w:rsidRPr="00DB139A">
              <w:rPr>
                <w:rFonts w:eastAsia="Times New Roman" w:cs="Times New Roman"/>
                <w:sz w:val="20"/>
                <w:szCs w:val="20"/>
              </w:rPr>
              <w:t>2 уровень</w:t>
            </w:r>
            <w:r w:rsidR="001E2BAE" w:rsidRPr="00DB139A">
              <w:rPr>
                <w:rFonts w:eastAsia="Times New Roman" w:cs="Times New Roman"/>
                <w:sz w:val="20"/>
                <w:szCs w:val="20"/>
              </w:rPr>
              <w:t> </w:t>
            </w:r>
          </w:p>
        </w:tc>
        <w:tc>
          <w:tcPr>
            <w:tcW w:w="10219" w:type="dxa"/>
            <w:vMerge w:val="restart"/>
            <w:tcBorders>
              <w:top w:val="nil"/>
              <w:left w:val="single" w:sz="4" w:space="0" w:color="auto"/>
              <w:bottom w:val="single" w:sz="4" w:space="0" w:color="000000"/>
              <w:right w:val="single" w:sz="4" w:space="0" w:color="auto"/>
            </w:tcBorders>
            <w:shd w:val="clear" w:color="auto" w:fill="auto"/>
            <w:hideMark/>
          </w:tcPr>
          <w:p w:rsidR="00FE1C5B" w:rsidRPr="00DB139A" w:rsidRDefault="00A241F8" w:rsidP="00DB139A">
            <w:pPr>
              <w:pStyle w:val="a3"/>
              <w:numPr>
                <w:ilvl w:val="1"/>
                <w:numId w:val="1"/>
              </w:numPr>
              <w:shd w:val="clear" w:color="auto" w:fill="FFFFFF"/>
              <w:spacing w:after="0" w:line="240" w:lineRule="auto"/>
              <w:rPr>
                <w:rFonts w:eastAsia="Times New Roman" w:cs="Times New Roman"/>
                <w:color w:val="FF0000"/>
                <w:sz w:val="20"/>
                <w:szCs w:val="20"/>
              </w:rPr>
            </w:pPr>
            <w:r w:rsidRPr="00DB139A">
              <w:rPr>
                <w:rFonts w:eastAsia="Times New Roman" w:cs="Times New Roman"/>
                <w:color w:val="FF0000"/>
                <w:sz w:val="20"/>
                <w:szCs w:val="20"/>
              </w:rPr>
              <w:t>Определение справедливой стоимости ПФИ в условиях активного рынка.</w:t>
            </w:r>
            <w:r w:rsidRPr="00DB139A">
              <w:rPr>
                <w:rFonts w:eastAsia="Times New Roman" w:cs="Times New Roman"/>
                <w:color w:val="FF0000"/>
                <w:sz w:val="20"/>
                <w:szCs w:val="20"/>
              </w:rPr>
              <w:br/>
              <w:t>Справедливой стоимостью ПФИ считается цена, которая может быть получена при продаже ПФИ, представляющего собой актив, или которая подлежит уплате при передаче (урегулировании) ПФИ, являющегося обязательством, при обычной сделке между участниками рынка на дату оценки.</w:t>
            </w:r>
            <w:r w:rsidRPr="00DB139A">
              <w:rPr>
                <w:rFonts w:eastAsia="Times New Roman" w:cs="Times New Roman"/>
                <w:color w:val="FF0000"/>
                <w:sz w:val="20"/>
                <w:szCs w:val="20"/>
              </w:rPr>
              <w:br/>
              <w:t xml:space="preserve">Справедливая стоимость ПФИ определяется в условиях активного рынка, если данный финансовый инструмент входит в котировальные листы организаторов торговли, либо допущен к обращению через организатора торговли без прохождения процедуры листинга. </w:t>
            </w:r>
            <w:r w:rsidRPr="00DB139A">
              <w:rPr>
                <w:rFonts w:eastAsia="Times New Roman" w:cs="Times New Roman"/>
                <w:color w:val="FF0000"/>
                <w:sz w:val="20"/>
                <w:szCs w:val="20"/>
              </w:rPr>
              <w:br/>
              <w:t>По ПФИ, по которым рынок является активным, используются данные, определенные на Основной торговой площадке для оцениваемого ПФИ (в порядке убывания приоритетности):</w:t>
            </w:r>
            <w:r w:rsidRPr="00DB139A">
              <w:rPr>
                <w:rFonts w:eastAsia="Times New Roman" w:cs="Times New Roman"/>
                <w:color w:val="FF0000"/>
                <w:sz w:val="20"/>
                <w:szCs w:val="20"/>
              </w:rPr>
              <w:br/>
              <w:t>• Последняя расчетная цена (теоретическая цена), определяемая организатором торгов, где Компанией был продан или куплен ПФИ или цена спроса bid (PX_BID), раскрытая информационной системой  Bloomberg.</w:t>
            </w:r>
            <w:r w:rsidRPr="00DB139A">
              <w:rPr>
                <w:rFonts w:eastAsia="Times New Roman" w:cs="Times New Roman"/>
                <w:color w:val="FF0000"/>
                <w:sz w:val="20"/>
                <w:szCs w:val="20"/>
              </w:rPr>
              <w:br/>
              <w:t>• Вариационная маржа, определяемая организатором торгов, где Компанией был продан или куплен ПФИ. Данный показатель используется для расчета изменения справедливой стоимости ПФИ с даты последней уплаты вариационной маржи (для последующей, а не при приобретении, переоценки ПФИ);</w:t>
            </w:r>
            <w:r w:rsidRPr="00DB139A">
              <w:rPr>
                <w:rFonts w:eastAsia="Times New Roman" w:cs="Times New Roman"/>
                <w:color w:val="FF0000"/>
                <w:sz w:val="20"/>
                <w:szCs w:val="20"/>
              </w:rPr>
              <w:br/>
              <w:t>• Последняя цена закрытия, определяемая организатором торгов, где Компанией был куплен/продан оцениваемый ПФИ</w:t>
            </w:r>
            <w:r w:rsidRPr="00DB139A">
              <w:rPr>
                <w:rFonts w:eastAsia="Times New Roman" w:cs="Arial"/>
                <w:color w:val="FF0000"/>
                <w:sz w:val="20"/>
                <w:szCs w:val="20"/>
              </w:rPr>
              <w:t xml:space="preserve"> при условии подтверждения ее корректности. Цена закрытия признается корректной, если раскрыты данные об объеме торгов за день и объем торгов не равен нулю с проверкой (CLOSE)&lt;&gt;0</w:t>
            </w:r>
            <w:r w:rsidRPr="00DB139A">
              <w:rPr>
                <w:rFonts w:eastAsia="Times New Roman" w:cs="Times New Roman"/>
                <w:color w:val="FF0000"/>
                <w:sz w:val="20"/>
                <w:szCs w:val="20"/>
              </w:rPr>
              <w:t xml:space="preserve">; </w:t>
            </w:r>
            <w:r w:rsidRPr="00DB139A">
              <w:rPr>
                <w:rFonts w:eastAsia="Times New Roman" w:cs="Times New Roman"/>
                <w:color w:val="FF0000"/>
                <w:sz w:val="20"/>
                <w:szCs w:val="20"/>
              </w:rPr>
              <w:br/>
              <w:t xml:space="preserve">• Последняя средневзвешенная цена, определяемая организатором торгов, где Компанией был куплен/продан оцениваемый ПФИ, </w:t>
            </w:r>
            <w:r w:rsidRPr="00DB139A">
              <w:rPr>
                <w:rFonts w:eastAsia="Times New Roman" w:cs="Arial"/>
                <w:color w:val="FF0000"/>
                <w:sz w:val="20"/>
                <w:szCs w:val="20"/>
              </w:rPr>
              <w:t>при условии, что данная цена находится в пределах спрэда по спросу и предложению на указанную дату</w:t>
            </w:r>
            <w:r w:rsidRPr="00DB139A">
              <w:rPr>
                <w:rFonts w:eastAsia="Times New Roman" w:cs="Times New Roman"/>
                <w:color w:val="FF0000"/>
                <w:sz w:val="20"/>
                <w:szCs w:val="20"/>
              </w:rPr>
              <w:t xml:space="preserve"> . </w:t>
            </w:r>
            <w:r w:rsidRPr="00DB139A">
              <w:rPr>
                <w:rFonts w:eastAsia="Times New Roman" w:cs="Times New Roman"/>
                <w:color w:val="FF0000"/>
                <w:sz w:val="20"/>
                <w:szCs w:val="20"/>
              </w:rPr>
              <w:br/>
            </w:r>
            <w:r w:rsidRPr="00DB139A">
              <w:rPr>
                <w:color w:val="FF0000"/>
                <w:sz w:val="20"/>
                <w:szCs w:val="20"/>
              </w:rPr>
              <w:t>В случае, если контракт является маржируемым, и Управляющей компанией Фонда на дату оценки отражены все расчеты по вариационной марже, справедливая стоимость производного финансового инструмента равна нулю.</w:t>
            </w:r>
            <w:r w:rsidRPr="00DB139A">
              <w:rPr>
                <w:rFonts w:eastAsia="Times New Roman" w:cs="Times New Roman"/>
                <w:color w:val="FF0000"/>
                <w:sz w:val="20"/>
                <w:szCs w:val="20"/>
              </w:rPr>
              <w:br/>
              <w:t>При определении справедливой стоимости ПФИ, обращающихся на иностранных фондовых биржах и/или обращающихся преимущественно на внебиржевом рынке, допускается использовать последние доступные Исходные данные в случае, если дата определения справедливой стоимости приходится на рабочий день в Российской Федерации и нерабочий день в стране обращения оцениваемого Финансового инструмента .</w:t>
            </w:r>
            <w:r w:rsidRPr="00DB139A">
              <w:rPr>
                <w:rFonts w:eastAsia="Times New Roman" w:cs="Times New Roman"/>
                <w:color w:val="FF0000"/>
                <w:sz w:val="20"/>
                <w:szCs w:val="20"/>
              </w:rPr>
              <w:br/>
            </w:r>
            <w:r w:rsidRPr="00DB139A">
              <w:rPr>
                <w:rFonts w:eastAsia="Times New Roman" w:cs="Times New Roman"/>
                <w:color w:val="FF0000"/>
                <w:sz w:val="20"/>
                <w:szCs w:val="20"/>
              </w:rPr>
              <w:br/>
              <w:t>1.2. Определение справедливой стоимости ПФИ в условиях отсутствия активного рынка.</w:t>
            </w:r>
            <w:r w:rsidRPr="00DB139A">
              <w:rPr>
                <w:rFonts w:eastAsia="Times New Roman" w:cs="Times New Roman"/>
                <w:color w:val="FF0000"/>
                <w:sz w:val="20"/>
                <w:szCs w:val="20"/>
              </w:rPr>
              <w:br/>
              <w:t>В качестве данных, необходимых для определения справедливой стоимости ПФИ, используются данные информационных систем Bloomberg/Reuters [возможно указать системы, к которым Управляющая компания имеет доступ].</w:t>
            </w:r>
            <w:r w:rsidRPr="00DB139A">
              <w:rPr>
                <w:rFonts w:eastAsia="Times New Roman" w:cs="Times New Roman"/>
                <w:color w:val="FF0000"/>
                <w:sz w:val="20"/>
                <w:szCs w:val="20"/>
              </w:rPr>
              <w:br/>
              <w:t xml:space="preserve">По ПФИ, рынок по которым не является активным для целей определения справедливой стоимости, </w:t>
            </w:r>
            <w:r w:rsidRPr="00DB139A">
              <w:rPr>
                <w:rFonts w:eastAsia="Times New Roman" w:cs="Times New Roman"/>
                <w:color w:val="FF0000"/>
                <w:sz w:val="20"/>
                <w:szCs w:val="20"/>
              </w:rPr>
              <w:lastRenderedPageBreak/>
              <w:t>используются следующие методы:</w:t>
            </w:r>
            <w:r w:rsidRPr="00DB139A">
              <w:rPr>
                <w:rFonts w:eastAsia="Times New Roman" w:cs="Times New Roman"/>
                <w:color w:val="FF0000"/>
                <w:sz w:val="20"/>
                <w:szCs w:val="20"/>
              </w:rPr>
              <w:br/>
              <w:t>• справедливая стоимость аналогичного финансового инструмента. В данном случае у аналогичного ПФИ и оцениваемого ПФИ должны быть одинаковыми следующие параметры: вид ПФИ, базисный актив, валюта ПФИ, дата окончания срока договора (контракта) по спецификации инструмента , цена исполнения, прочие существенные условия договора;</w:t>
            </w:r>
            <w:r w:rsidRPr="00DB139A">
              <w:rPr>
                <w:rFonts w:eastAsia="Times New Roman" w:cs="Times New Roman"/>
                <w:color w:val="FF0000"/>
                <w:sz w:val="20"/>
                <w:szCs w:val="20"/>
              </w:rPr>
              <w:br/>
              <w:t>• расчетные способы определения справедливой стоимости на основании использования типовых моделей расчета цен ПФИ, реализованных информационным агентством Блумберг (Bloomberg) [НФО вправе указать системы, к которым имеет доступ], которые должны быть прописаны в Правилах определения СЧА;</w:t>
            </w:r>
            <w:r w:rsidRPr="00DB139A">
              <w:rPr>
                <w:rFonts w:eastAsia="Times New Roman" w:cs="Times New Roman"/>
                <w:color w:val="FF0000"/>
                <w:sz w:val="20"/>
                <w:szCs w:val="20"/>
              </w:rPr>
              <w:br/>
            </w:r>
            <w:r w:rsidRPr="00DB139A">
              <w:rPr>
                <w:rFonts w:eastAsia="Times New Roman" w:cs="Times New Roman"/>
                <w:color w:val="FF0000"/>
                <w:sz w:val="20"/>
                <w:szCs w:val="20"/>
              </w:rPr>
              <w:br/>
            </w:r>
            <w:r w:rsidR="00DB139A" w:rsidRPr="00DB139A">
              <w:rPr>
                <w:rFonts w:eastAsia="Times New Roman" w:cs="Times New Roman"/>
                <w:color w:val="FF0000"/>
                <w:sz w:val="20"/>
                <w:szCs w:val="20"/>
              </w:rPr>
              <w:t xml:space="preserve">1.3. </w:t>
            </w:r>
            <w:r w:rsidRPr="00DB139A">
              <w:rPr>
                <w:rFonts w:eastAsia="Times New Roman" w:cs="Times New Roman"/>
                <w:color w:val="FF0000"/>
                <w:sz w:val="20"/>
                <w:szCs w:val="20"/>
              </w:rPr>
              <w:t>Если справедливая стоимость</w:t>
            </w:r>
            <w:r w:rsidR="00DB139A" w:rsidRPr="00DB139A">
              <w:rPr>
                <w:rFonts w:eastAsia="Times New Roman" w:cs="Times New Roman"/>
                <w:color w:val="FF0000"/>
                <w:sz w:val="20"/>
                <w:szCs w:val="20"/>
              </w:rPr>
              <w:t xml:space="preserve"> ПФИ</w:t>
            </w:r>
            <w:r w:rsidRPr="00DB139A">
              <w:rPr>
                <w:rFonts w:eastAsia="Times New Roman" w:cs="Times New Roman"/>
                <w:color w:val="FF0000"/>
                <w:sz w:val="20"/>
                <w:szCs w:val="20"/>
              </w:rPr>
              <w:t xml:space="preserve"> определяется по справедливой стоимости базового актива</w:t>
            </w:r>
            <w:r w:rsidR="00DB139A" w:rsidRPr="00DB139A">
              <w:rPr>
                <w:rFonts w:eastAsia="Times New Roman" w:cs="Times New Roman"/>
                <w:color w:val="FF0000"/>
                <w:sz w:val="20"/>
                <w:szCs w:val="20"/>
              </w:rPr>
              <w:t>:</w:t>
            </w:r>
            <w:r w:rsidR="00DB139A" w:rsidRPr="00DB139A">
              <w:rPr>
                <w:rFonts w:eastAsia="Times New Roman" w:cs="Times New Roman"/>
                <w:color w:val="FF0000"/>
                <w:sz w:val="20"/>
                <w:szCs w:val="20"/>
              </w:rPr>
              <w:br/>
              <w:t>Если базовым активом ПФИ является ценная бумага, то справедливая стоимость базового актива определяется в соответствии с п. 1 настоящей методики.</w:t>
            </w:r>
            <w:r w:rsidR="00DB139A" w:rsidRPr="00DB139A">
              <w:rPr>
                <w:rFonts w:eastAsia="Times New Roman" w:cs="Times New Roman"/>
                <w:color w:val="FF0000"/>
                <w:sz w:val="20"/>
                <w:szCs w:val="20"/>
              </w:rPr>
              <w:br/>
              <w:t>Если базовым активом ПФИ является другой ПФИ, то справедливая стоимость базового актива определяется в соответствии с п. 2. настоящей методики.</w:t>
            </w:r>
            <w:r w:rsidR="00DB139A" w:rsidRPr="00DB139A">
              <w:rPr>
                <w:rFonts w:eastAsia="Times New Roman" w:cs="Times New Roman"/>
                <w:color w:val="FF0000"/>
                <w:sz w:val="20"/>
                <w:szCs w:val="20"/>
              </w:rPr>
              <w:br/>
              <w:t>Если базовым активом ПФИ является индекс, то справедливая стоимость базового актива определяется с использованием расчетного значения индекса, которое определяется организацией, рассчитывающей данный индекс, и публикуется в информационных системах Bloomberg/Reuters [НФО вправе указать системы, к которым имеет доступ]или на сайте организации.</w:t>
            </w:r>
            <w:r w:rsidR="00DB139A" w:rsidRPr="00DB139A">
              <w:rPr>
                <w:rFonts w:eastAsia="Times New Roman" w:cs="Times New Roman"/>
                <w:color w:val="FF0000"/>
                <w:sz w:val="20"/>
                <w:szCs w:val="20"/>
              </w:rPr>
              <w:br/>
              <w:t>Если базовым активом ПФИ является товар (за исключением драгоценных металлов), то справедливая стоимость базового актива определяется с использованием официальной цены на товар, которая определяется Лондонской биржей металлов (London Metal Exchange, LME), Интерконтинентальной биржей (Intercontinental Exchange, ICE) или одной из бирж, входящих в Группу CME (CME Group), и публикуется в информационных системах Bloomberg/Reuters или на сайте биржи [НФО вправе указать системы, к которым имеет доступ].</w:t>
            </w:r>
            <w:r w:rsidR="00DB139A" w:rsidRPr="00DB139A">
              <w:rPr>
                <w:rFonts w:eastAsia="Times New Roman" w:cs="Times New Roman"/>
                <w:color w:val="FF0000"/>
                <w:sz w:val="20"/>
                <w:szCs w:val="20"/>
              </w:rPr>
              <w:br/>
              <w:t>Если базовым активом ПФИ является иностранная валюта или драгоценный металл, то справедливая стоимость базового актива определяется с использованием значения валютного курса, опубликованного в информационных системах Bloomberg/Reuters [НФО вправе указать системы, к которым имеет доступ] на момент закрытия дня.</w:t>
            </w:r>
            <w:r w:rsidR="00DB139A" w:rsidRPr="00DB139A">
              <w:rPr>
                <w:rFonts w:eastAsia="Times New Roman" w:cs="Times New Roman"/>
                <w:color w:val="FF0000"/>
                <w:sz w:val="20"/>
                <w:szCs w:val="20"/>
              </w:rPr>
              <w:br/>
              <w:t>Если базовым активом ПФИ являются ставки денежного рынка, то справедливая стоимость базового актива определяется с использованием значений ставок денежного рынка, которые определяются Банком России, Национальной Валютной Ассоциацией, Интерконтинентальной биржей (Intercontinental Exchange, ICE), и публикуется в информационных системах Bloomberg/Reuters или на сайте организации [НФО вправе указать системы, к которым имеет доступ].</w:t>
            </w:r>
          </w:p>
          <w:p w:rsidR="00FE1C5B" w:rsidRPr="00DB139A" w:rsidRDefault="00D33EE6" w:rsidP="00DB139A">
            <w:pPr>
              <w:pStyle w:val="a3"/>
              <w:numPr>
                <w:ilvl w:val="0"/>
                <w:numId w:val="1"/>
              </w:numPr>
              <w:shd w:val="clear" w:color="auto" w:fill="FFFFFF"/>
              <w:spacing w:after="0" w:line="240" w:lineRule="auto"/>
              <w:rPr>
                <w:rFonts w:eastAsia="Times New Roman" w:cs="Times New Roman"/>
                <w:color w:val="FF0000"/>
                <w:sz w:val="20"/>
                <w:szCs w:val="20"/>
              </w:rPr>
            </w:pPr>
            <w:r w:rsidRPr="00DB139A">
              <w:rPr>
                <w:rFonts w:eastAsia="Times New Roman" w:cs="Times New Roman"/>
                <w:color w:val="FF0000"/>
                <w:sz w:val="20"/>
                <w:szCs w:val="20"/>
              </w:rPr>
              <w:t xml:space="preserve">Правилами определения СЧА могут быть предусмотрены иные </w:t>
            </w:r>
            <w:r w:rsidR="00DB139A" w:rsidRPr="00DB139A">
              <w:rPr>
                <w:rFonts w:eastAsia="Times New Roman" w:cs="Times New Roman"/>
                <w:color w:val="FF0000"/>
                <w:sz w:val="20"/>
                <w:szCs w:val="20"/>
              </w:rPr>
              <w:t>методы определения справедливой стоимости ПФИ</w:t>
            </w:r>
          </w:p>
        </w:tc>
        <w:tc>
          <w:tcPr>
            <w:tcW w:w="2261"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lastRenderedPageBreak/>
              <w:t>В соответствии с Указанием Банка России от 07.10.2014 N 3413-У "О порядке определения расчетной стоимости финансовых инструментов срочных сделок, не обращающихся на организованных торгах, в целях главы 25 Налогового кодекса Российской Федерации". При отсутствии порядка определения справедливой стоимости в 3413-У, порядок определяется Правилами определения СЧА</w:t>
            </w:r>
          </w:p>
        </w:tc>
      </w:tr>
      <w:tr w:rsidR="001E2BAE" w:rsidRPr="00DB139A" w:rsidTr="00DB139A">
        <w:trPr>
          <w:trHeight w:val="8190"/>
        </w:trPr>
        <w:tc>
          <w:tcPr>
            <w:tcW w:w="1733" w:type="dxa"/>
            <w:tcBorders>
              <w:top w:val="nil"/>
              <w:left w:val="single" w:sz="4" w:space="0" w:color="auto"/>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lastRenderedPageBreak/>
              <w:t> </w:t>
            </w:r>
          </w:p>
        </w:tc>
        <w:tc>
          <w:tcPr>
            <w:tcW w:w="1520"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jc w:val="center"/>
              <w:rPr>
                <w:rFonts w:eastAsia="Times New Roman" w:cs="Times New Roman"/>
                <w:sz w:val="20"/>
                <w:szCs w:val="20"/>
              </w:rPr>
            </w:pPr>
            <w:r w:rsidRPr="00DB139A">
              <w:rPr>
                <w:rFonts w:eastAsia="Times New Roman" w:cs="Times New Roman"/>
                <w:sz w:val="20"/>
                <w:szCs w:val="20"/>
              </w:rPr>
              <w:t> </w:t>
            </w:r>
          </w:p>
        </w:tc>
        <w:tc>
          <w:tcPr>
            <w:tcW w:w="10219" w:type="dxa"/>
            <w:vMerge/>
            <w:tcBorders>
              <w:top w:val="nil"/>
              <w:left w:val="single" w:sz="4" w:space="0" w:color="auto"/>
              <w:bottom w:val="single" w:sz="4" w:space="0" w:color="000000"/>
              <w:right w:val="single" w:sz="4" w:space="0" w:color="auto"/>
            </w:tcBorders>
            <w:hideMark/>
          </w:tcPr>
          <w:p w:rsidR="001E2BAE" w:rsidRPr="00DB139A" w:rsidRDefault="001E2BAE" w:rsidP="00DB139A">
            <w:pPr>
              <w:spacing w:after="0" w:line="240" w:lineRule="auto"/>
              <w:rPr>
                <w:rFonts w:eastAsia="Times New Roman" w:cs="Times New Roman"/>
                <w:color w:val="FF0000"/>
                <w:sz w:val="20"/>
                <w:szCs w:val="20"/>
              </w:rPr>
            </w:pPr>
          </w:p>
        </w:tc>
        <w:tc>
          <w:tcPr>
            <w:tcW w:w="2261"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 </w:t>
            </w:r>
          </w:p>
        </w:tc>
      </w:tr>
      <w:tr w:rsidR="001E2BAE" w:rsidRPr="00DB139A" w:rsidTr="00DB139A">
        <w:trPr>
          <w:trHeight w:val="1890"/>
        </w:trPr>
        <w:tc>
          <w:tcPr>
            <w:tcW w:w="1733" w:type="dxa"/>
            <w:tcBorders>
              <w:top w:val="nil"/>
              <w:left w:val="single" w:sz="4" w:space="0" w:color="auto"/>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lastRenderedPageBreak/>
              <w:t>Ценная бумага является дополнительным выпуском</w:t>
            </w:r>
          </w:p>
        </w:tc>
        <w:tc>
          <w:tcPr>
            <w:tcW w:w="1520"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 </w:t>
            </w:r>
          </w:p>
        </w:tc>
        <w:tc>
          <w:tcPr>
            <w:tcW w:w="10219" w:type="dxa"/>
            <w:tcBorders>
              <w:top w:val="nil"/>
              <w:left w:val="nil"/>
              <w:bottom w:val="single" w:sz="4" w:space="0" w:color="auto"/>
              <w:right w:val="single" w:sz="4" w:space="0" w:color="auto"/>
            </w:tcBorders>
            <w:shd w:val="clear" w:color="auto" w:fill="auto"/>
            <w:hideMark/>
          </w:tcPr>
          <w:p w:rsidR="001E2BAE" w:rsidRPr="00DB139A" w:rsidRDefault="001E2BAE" w:rsidP="00DB139A">
            <w:pPr>
              <w:spacing w:after="0" w:line="240" w:lineRule="auto"/>
              <w:rPr>
                <w:rFonts w:eastAsia="Times New Roman" w:cs="Times New Roman"/>
                <w:sz w:val="20"/>
                <w:szCs w:val="20"/>
              </w:rPr>
            </w:pPr>
            <w:r w:rsidRPr="00DB139A">
              <w:rPr>
                <w:rFonts w:eastAsia="Times New Roman" w:cs="Times New Roman"/>
                <w:sz w:val="20"/>
                <w:szCs w:val="20"/>
              </w:rPr>
              <w:t>Для оценки ценной бумаги используется цена выпуска (аналогичного актива), по отношению к которому данный выпуск является дополнительным, определенная, на дату определения СЧА в соответствии с моделям оценки стоимости ценных бумаг, для которых  определен активный рынок.</w:t>
            </w:r>
            <w:r w:rsidRPr="00DB139A">
              <w:rPr>
                <w:rFonts w:eastAsia="Times New Roman" w:cs="Times New Roman"/>
                <w:sz w:val="20"/>
                <w:szCs w:val="20"/>
              </w:rPr>
              <w:br/>
              <w:t>Справедливая стоимость определяется согласно этому порядку до возникновения справедливой стоимости ценной бумаги, являющейся дополнительным выпуском.</w:t>
            </w:r>
          </w:p>
        </w:tc>
        <w:tc>
          <w:tcPr>
            <w:tcW w:w="2261"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 </w:t>
            </w:r>
          </w:p>
        </w:tc>
      </w:tr>
      <w:tr w:rsidR="001E2BAE" w:rsidRPr="00DB139A" w:rsidTr="00DB139A">
        <w:trPr>
          <w:trHeight w:val="5715"/>
        </w:trPr>
        <w:tc>
          <w:tcPr>
            <w:tcW w:w="1733" w:type="dxa"/>
            <w:tcBorders>
              <w:top w:val="nil"/>
              <w:left w:val="single" w:sz="4" w:space="0" w:color="auto"/>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Ценная бумага, полученная в результате конвертации в нее другой ценной бумаги (исходной ценной бумаги)</w:t>
            </w:r>
          </w:p>
        </w:tc>
        <w:tc>
          <w:tcPr>
            <w:tcW w:w="1520"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 </w:t>
            </w:r>
          </w:p>
        </w:tc>
        <w:tc>
          <w:tcPr>
            <w:tcW w:w="10219" w:type="dxa"/>
            <w:tcBorders>
              <w:top w:val="nil"/>
              <w:left w:val="nil"/>
              <w:bottom w:val="single" w:sz="4" w:space="0" w:color="auto"/>
              <w:right w:val="single" w:sz="4" w:space="0" w:color="auto"/>
            </w:tcBorders>
            <w:shd w:val="clear" w:color="auto" w:fill="auto"/>
            <w:hideMark/>
          </w:tcPr>
          <w:p w:rsidR="001E2BAE" w:rsidRPr="00DB139A" w:rsidRDefault="001E2BAE" w:rsidP="00DB139A">
            <w:pPr>
              <w:spacing w:after="0" w:line="240" w:lineRule="auto"/>
              <w:rPr>
                <w:rFonts w:eastAsia="Times New Roman" w:cs="Times New Roman"/>
                <w:sz w:val="20"/>
                <w:szCs w:val="20"/>
              </w:rPr>
            </w:pPr>
            <w:r w:rsidRPr="00DB139A">
              <w:rPr>
                <w:rFonts w:eastAsia="Times New Roman" w:cs="Times New Roman"/>
                <w:sz w:val="20"/>
                <w:szCs w:val="20"/>
              </w:rPr>
              <w:t>Для оценки ценной бумаги, используется цена исходной ценной бумаги, определенная на дату определения СЧА в соответствии с моделями оценки стоимости ценных бумаг, для которых  определен активный рынок, скорректированная с учетом коэффициента конвертации.</w:t>
            </w:r>
            <w:r w:rsidRPr="00DB139A">
              <w:rPr>
                <w:rFonts w:eastAsia="Times New Roman" w:cs="Times New Roman"/>
                <w:sz w:val="20"/>
                <w:szCs w:val="20"/>
              </w:rPr>
              <w:br/>
              <w:t>Если невозможно определить в соответствии с моделями оценки стоимости ценных бумаг, для которых  определен активный рынок цену исходной ценной бумаги на дату определения СЧА, используется справедливая стоимость исходной ценной бумаги, определенная на дату конвертации, скорректированная с учетом коэффициента конвертации.</w:t>
            </w:r>
            <w:r w:rsidRPr="00DB139A">
              <w:rPr>
                <w:rFonts w:eastAsia="Times New Roman" w:cs="Times New Roman"/>
                <w:sz w:val="20"/>
                <w:szCs w:val="20"/>
              </w:rPr>
              <w:br/>
            </w:r>
            <w:r w:rsidRPr="00DB139A">
              <w:rPr>
                <w:rFonts w:eastAsia="Times New Roman" w:cs="Times New Roman"/>
                <w:sz w:val="20"/>
                <w:szCs w:val="20"/>
              </w:rPr>
              <w:br/>
              <w:t xml:space="preserve">  Справедливая стоимость определяется согласно этому порядку </w:t>
            </w:r>
            <w:r w:rsidRPr="00DB139A">
              <w:rPr>
                <w:rFonts w:eastAsia="Times New Roman" w:cs="Times New Roman"/>
                <w:color w:val="FF0000"/>
                <w:sz w:val="20"/>
                <w:szCs w:val="20"/>
              </w:rPr>
              <w:t xml:space="preserve">на дату оценки. Со следующей даты </w:t>
            </w:r>
            <w:r w:rsidR="00B34455" w:rsidRPr="00DB139A">
              <w:rPr>
                <w:rFonts w:eastAsia="Times New Roman" w:cs="Times New Roman"/>
                <w:color w:val="FF0000"/>
                <w:sz w:val="20"/>
                <w:szCs w:val="20"/>
              </w:rPr>
              <w:t xml:space="preserve">справедливая стоимость </w:t>
            </w:r>
            <w:r w:rsidRPr="00DB139A">
              <w:rPr>
                <w:rFonts w:eastAsia="Times New Roman" w:cs="Times New Roman"/>
                <w:color w:val="FF0000"/>
                <w:sz w:val="20"/>
                <w:szCs w:val="20"/>
              </w:rPr>
              <w:t xml:space="preserve">определяется в общем порядке. </w:t>
            </w:r>
            <w:r w:rsidRPr="00DB139A">
              <w:rPr>
                <w:rFonts w:eastAsia="Times New Roman" w:cs="Times New Roman"/>
                <w:sz w:val="20"/>
                <w:szCs w:val="20"/>
              </w:rPr>
              <w:br/>
              <w:t>• Оценочной стоимостью акций с большей (меньшей) номинальной стоимостью, признанных  в результате конвертации в них исходных акций, является оценочная стоимость конвертированных в них акций.</w:t>
            </w:r>
            <w:r w:rsidRPr="00DB139A">
              <w:rPr>
                <w:rFonts w:eastAsia="Times New Roman" w:cs="Times New Roman"/>
                <w:sz w:val="20"/>
                <w:szCs w:val="20"/>
              </w:rPr>
              <w:br/>
              <w:t>• Оценочной стоимостью акций той же категории (типа) с иными правами, признанных в результате конвертации в них исходных акций, является оценочная стоимость конвертированных акций.</w:t>
            </w:r>
            <w:r w:rsidRPr="00DB139A">
              <w:rPr>
                <w:rFonts w:eastAsia="Times New Roman" w:cs="Times New Roman"/>
                <w:sz w:val="20"/>
                <w:szCs w:val="20"/>
              </w:rPr>
              <w:br/>
              <w:t>• Оценочной стоимостью акций, признанных в результате конвертации при дроблении исходных акций, является оценочная стоимость конвертированных акций, деленная на коэффициент дробления.</w:t>
            </w:r>
            <w:r w:rsidRPr="00DB139A">
              <w:rPr>
                <w:rFonts w:eastAsia="Times New Roman" w:cs="Times New Roman"/>
                <w:sz w:val="20"/>
                <w:szCs w:val="20"/>
              </w:rPr>
              <w:br/>
              <w:t>• Оценочной стоимостью акций, признанных в результате конвертации при консолидации исходных акций, является оценочная стоимость конвертированных акций, умноженная на коэффициент консолидации.</w:t>
            </w:r>
            <w:r w:rsidRPr="00DB139A">
              <w:rPr>
                <w:rFonts w:eastAsia="Times New Roman" w:cs="Times New Roman"/>
                <w:sz w:val="20"/>
                <w:szCs w:val="20"/>
              </w:rPr>
              <w:br/>
              <w:t>• Оценочной стоимостью акций или облигаций нового выпуска, признанных в результате конвертации в них конвертируемых исходных ценных бумаг, является оценочная стоимость конвертированных ценных бумаг, деленная на количество акций (облигаций), в которое конвертирована одна конвертируемая ценная бумага.</w:t>
            </w:r>
            <w:r w:rsidRPr="00DB139A">
              <w:rPr>
                <w:rFonts w:eastAsia="Times New Roman" w:cs="Times New Roman"/>
                <w:sz w:val="20"/>
                <w:szCs w:val="20"/>
              </w:rPr>
              <w:br/>
              <w:t>• Оценочной стоимостью акций, признанных в результате конвертации в них исходных акций при реорганизации в форме слияния, является оценочная стоимость конвертированных ценных бумаг, умноженная на коэффициент конвертации.</w:t>
            </w:r>
            <w:r w:rsidRPr="00DB139A">
              <w:rPr>
                <w:rFonts w:eastAsia="Times New Roman" w:cs="Times New Roman"/>
                <w:sz w:val="20"/>
                <w:szCs w:val="20"/>
              </w:rPr>
              <w:br/>
              <w:t xml:space="preserve">• Оценочной стоимостью акций вновь созданного в результате реорганизации в форме разделения или выделения акционерного общества, признанных в результате конвертации в них исходных акций, является  оценочная стоимость конвертированных акций, деленная на коэффициент конвертации. В случае, если в результате разделения </w:t>
            </w:r>
            <w:r w:rsidRPr="00DB139A">
              <w:rPr>
                <w:rFonts w:eastAsia="Times New Roman" w:cs="Times New Roman"/>
                <w:sz w:val="20"/>
                <w:szCs w:val="20"/>
              </w:rPr>
              <w:lastRenderedPageBreak/>
              <w:t>или выделения создается два или более акционерных общества, на коэффициент конвертации делится оценочная стоимость конвертированных акций, уменьшенная пропорционально доле имущества реорганизованного акционерного общества, переданного акционерному обществу, созданному в результате разделения или выделения.</w:t>
            </w:r>
            <w:r w:rsidRPr="00DB139A">
              <w:rPr>
                <w:rFonts w:eastAsia="Times New Roman" w:cs="Times New Roman"/>
                <w:sz w:val="20"/>
                <w:szCs w:val="20"/>
              </w:rPr>
              <w:br/>
              <w:t>• Оценочная стоимость акций вновь созданного в результате реорганизации в форме выделения акционерного общества, признанных в результате их распределения среди акционеров реорганизованного акционерного общества, считается равной нулю.</w:t>
            </w:r>
            <w:r w:rsidRPr="00DB139A">
              <w:rPr>
                <w:rFonts w:eastAsia="Times New Roman" w:cs="Times New Roman"/>
                <w:sz w:val="20"/>
                <w:szCs w:val="20"/>
              </w:rPr>
              <w:br/>
              <w:t>• Оценочной стоимостью облигаций нового выпуска, признанных в результате конвертации в них исходных облигаций при реорганизации эмитента таких облигаций, является оценочная стоимость конвертированных облигаций.     Для определения справедливой стоимости может также использоваться отчет оценщика.</w:t>
            </w:r>
          </w:p>
        </w:tc>
        <w:tc>
          <w:tcPr>
            <w:tcW w:w="2261"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lastRenderedPageBreak/>
              <w:t> </w:t>
            </w:r>
          </w:p>
        </w:tc>
      </w:tr>
      <w:tr w:rsidR="001E2BAE" w:rsidRPr="00DB139A" w:rsidTr="00DB139A">
        <w:trPr>
          <w:trHeight w:val="1395"/>
        </w:trPr>
        <w:tc>
          <w:tcPr>
            <w:tcW w:w="1733" w:type="dxa"/>
            <w:tcBorders>
              <w:top w:val="nil"/>
              <w:left w:val="single" w:sz="4" w:space="0" w:color="auto"/>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color w:val="FF0000"/>
                <w:sz w:val="20"/>
                <w:szCs w:val="20"/>
              </w:rPr>
            </w:pPr>
            <w:r w:rsidRPr="00DB139A">
              <w:rPr>
                <w:rFonts w:eastAsia="Times New Roman" w:cs="Times New Roman"/>
                <w:color w:val="FF0000"/>
                <w:sz w:val="20"/>
                <w:szCs w:val="20"/>
              </w:rPr>
              <w:lastRenderedPageBreak/>
              <w:t>Ценная бумага, приобретенная на размещении</w:t>
            </w:r>
          </w:p>
        </w:tc>
        <w:tc>
          <w:tcPr>
            <w:tcW w:w="1520"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color w:val="FF0000"/>
                <w:sz w:val="20"/>
                <w:szCs w:val="20"/>
              </w:rPr>
            </w:pPr>
            <w:r w:rsidRPr="00DB139A">
              <w:rPr>
                <w:rFonts w:eastAsia="Times New Roman" w:cs="Times New Roman"/>
                <w:color w:val="FF0000"/>
                <w:sz w:val="20"/>
                <w:szCs w:val="20"/>
              </w:rPr>
              <w:t> </w:t>
            </w:r>
          </w:p>
        </w:tc>
        <w:tc>
          <w:tcPr>
            <w:tcW w:w="10219" w:type="dxa"/>
            <w:tcBorders>
              <w:top w:val="nil"/>
              <w:left w:val="nil"/>
              <w:bottom w:val="single" w:sz="4" w:space="0" w:color="auto"/>
              <w:right w:val="single" w:sz="4" w:space="0" w:color="auto"/>
            </w:tcBorders>
            <w:shd w:val="clear" w:color="auto" w:fill="auto"/>
            <w:hideMark/>
          </w:tcPr>
          <w:p w:rsidR="001E2BAE" w:rsidRPr="001034F3" w:rsidRDefault="001034F3" w:rsidP="00DB139A">
            <w:pPr>
              <w:spacing w:after="0" w:line="240" w:lineRule="auto"/>
              <w:rPr>
                <w:rFonts w:eastAsia="Times New Roman" w:cs="Times New Roman"/>
                <w:color w:val="FF0000"/>
                <w:sz w:val="20"/>
                <w:szCs w:val="20"/>
              </w:rPr>
            </w:pPr>
            <w:r w:rsidRPr="001034F3">
              <w:rPr>
                <w:rFonts w:cs="Arial"/>
                <w:color w:val="FF0000"/>
                <w:sz w:val="20"/>
                <w:szCs w:val="20"/>
                <w:shd w:val="clear" w:color="auto" w:fill="FFFFFF"/>
              </w:rPr>
              <w:t>Цена размещения. С даты появления цен, позволяющих произвести оценку по данным активного основного рынка,  справедливая стоимость определяется в общем порядке. </w:t>
            </w:r>
            <w:r w:rsidRPr="001034F3">
              <w:rPr>
                <w:rFonts w:cs="Arial"/>
                <w:color w:val="FF0000"/>
                <w:sz w:val="20"/>
                <w:szCs w:val="20"/>
              </w:rPr>
              <w:br/>
            </w:r>
            <w:r w:rsidRPr="001034F3">
              <w:rPr>
                <w:rFonts w:cs="Arial"/>
                <w:color w:val="FF0000"/>
                <w:sz w:val="20"/>
                <w:szCs w:val="20"/>
                <w:shd w:val="clear" w:color="auto" w:fill="FFFFFF"/>
              </w:rPr>
              <w:t>При отсутствии указанных цен в течение 10 рабочих дней с даты размещения может применяться цена размещения, скорректированная пропорционально на изменение ключевой ставки Банка России за этот период. </w:t>
            </w:r>
            <w:r w:rsidRPr="001034F3">
              <w:rPr>
                <w:rFonts w:cs="Arial"/>
                <w:color w:val="FF0000"/>
                <w:sz w:val="20"/>
                <w:szCs w:val="20"/>
              </w:rPr>
              <w:br/>
            </w:r>
            <w:r w:rsidRPr="001034F3">
              <w:rPr>
                <w:rFonts w:cs="Arial"/>
                <w:color w:val="FF0000"/>
                <w:sz w:val="20"/>
                <w:szCs w:val="20"/>
                <w:shd w:val="clear" w:color="auto" w:fill="FFFFFF"/>
              </w:rPr>
              <w:t>Начиная с 11 дня справедливая стоимость определяется в общем порядке.</w:t>
            </w:r>
          </w:p>
        </w:tc>
        <w:tc>
          <w:tcPr>
            <w:tcW w:w="2261"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color w:val="538ED5"/>
                <w:sz w:val="20"/>
                <w:szCs w:val="20"/>
              </w:rPr>
            </w:pPr>
            <w:r w:rsidRPr="00DB139A">
              <w:rPr>
                <w:rFonts w:eastAsia="Times New Roman" w:cs="Times New Roman"/>
                <w:color w:val="538ED5"/>
                <w:sz w:val="20"/>
                <w:szCs w:val="20"/>
              </w:rPr>
              <w:t> </w:t>
            </w:r>
          </w:p>
        </w:tc>
      </w:tr>
      <w:tr w:rsidR="001E2BAE" w:rsidRPr="00DB139A" w:rsidTr="00DB139A">
        <w:trPr>
          <w:trHeight w:val="1170"/>
        </w:trPr>
        <w:tc>
          <w:tcPr>
            <w:tcW w:w="1733" w:type="dxa"/>
            <w:tcBorders>
              <w:top w:val="nil"/>
              <w:left w:val="single" w:sz="4" w:space="0" w:color="auto"/>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 xml:space="preserve">Депозитарная расписка  </w:t>
            </w:r>
          </w:p>
        </w:tc>
        <w:tc>
          <w:tcPr>
            <w:tcW w:w="1520"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 </w:t>
            </w:r>
          </w:p>
        </w:tc>
        <w:tc>
          <w:tcPr>
            <w:tcW w:w="10219" w:type="dxa"/>
            <w:tcBorders>
              <w:top w:val="nil"/>
              <w:left w:val="nil"/>
              <w:bottom w:val="single" w:sz="4" w:space="0" w:color="auto"/>
              <w:right w:val="single" w:sz="4" w:space="0" w:color="auto"/>
            </w:tcBorders>
            <w:shd w:val="clear" w:color="auto" w:fill="auto"/>
            <w:hideMark/>
          </w:tcPr>
          <w:p w:rsidR="001E2BAE" w:rsidRPr="00DB139A" w:rsidRDefault="001E2BAE" w:rsidP="00DB139A">
            <w:pPr>
              <w:spacing w:after="0" w:line="240" w:lineRule="auto"/>
              <w:rPr>
                <w:rFonts w:eastAsia="Times New Roman" w:cs="Times New Roman"/>
                <w:color w:val="FF0000"/>
                <w:sz w:val="20"/>
                <w:szCs w:val="20"/>
              </w:rPr>
            </w:pPr>
            <w:r w:rsidRPr="00DB139A">
              <w:rPr>
                <w:rFonts w:eastAsia="Times New Roman" w:cs="Times New Roman"/>
                <w:color w:val="FF0000"/>
                <w:sz w:val="20"/>
                <w:szCs w:val="20"/>
              </w:rPr>
              <w:t xml:space="preserve">Котировка депозитарной расписки, если она торгуется на организованных торгах с выбором цены, аналогичным представленным по </w:t>
            </w:r>
            <w:r w:rsidR="00B862F5" w:rsidRPr="00DB139A">
              <w:rPr>
                <w:rFonts w:eastAsia="Times New Roman" w:cs="Times New Roman"/>
                <w:color w:val="FF0000"/>
                <w:sz w:val="20"/>
                <w:szCs w:val="20"/>
              </w:rPr>
              <w:t>ценным бумагам иностранных эмитентов</w:t>
            </w:r>
            <w:r w:rsidRPr="00DB139A">
              <w:rPr>
                <w:rFonts w:eastAsia="Times New Roman" w:cs="Times New Roman"/>
                <w:color w:val="FF0000"/>
                <w:sz w:val="20"/>
                <w:szCs w:val="20"/>
              </w:rPr>
              <w:t>. В случае отсутствия</w:t>
            </w:r>
            <w:r w:rsidR="00B862F5" w:rsidRPr="00DB139A">
              <w:rPr>
                <w:rFonts w:eastAsia="Times New Roman" w:cs="Times New Roman"/>
                <w:color w:val="FF0000"/>
                <w:sz w:val="20"/>
                <w:szCs w:val="20"/>
              </w:rPr>
              <w:t xml:space="preserve"> цены первого уровня</w:t>
            </w:r>
            <w:r w:rsidRPr="00DB139A">
              <w:rPr>
                <w:rFonts w:eastAsia="Times New Roman" w:cs="Times New Roman"/>
                <w:color w:val="FF0000"/>
                <w:sz w:val="20"/>
                <w:szCs w:val="20"/>
              </w:rPr>
              <w:t>, используется цена представляемой ценной бумаги (</w:t>
            </w:r>
            <w:r w:rsidR="00181D63" w:rsidRPr="00DB139A">
              <w:rPr>
                <w:rFonts w:eastAsia="Times New Roman" w:cs="Times New Roman"/>
                <w:color w:val="FF0000"/>
                <w:sz w:val="20"/>
                <w:szCs w:val="20"/>
              </w:rPr>
              <w:t>базового</w:t>
            </w:r>
            <w:r w:rsidRPr="00DB139A">
              <w:rPr>
                <w:rFonts w:eastAsia="Times New Roman" w:cs="Times New Roman"/>
                <w:color w:val="FF0000"/>
                <w:sz w:val="20"/>
                <w:szCs w:val="20"/>
              </w:rPr>
              <w:t xml:space="preserve"> актива), определенная в соответствии с моделями оценки стоимости ценных бумаг, для которых определяется активный рынок</w:t>
            </w:r>
            <w:r w:rsidR="00B862F5" w:rsidRPr="00DB139A">
              <w:rPr>
                <w:rFonts w:eastAsia="Times New Roman" w:cs="Times New Roman"/>
                <w:color w:val="FF0000"/>
                <w:sz w:val="20"/>
                <w:szCs w:val="20"/>
              </w:rPr>
              <w:t xml:space="preserve"> в зависимости от эмитента бумаги (российский/иностранный)</w:t>
            </w:r>
            <w:r w:rsidRPr="00DB139A">
              <w:rPr>
                <w:rFonts w:eastAsia="Times New Roman" w:cs="Times New Roman"/>
                <w:color w:val="FF0000"/>
                <w:sz w:val="20"/>
                <w:szCs w:val="20"/>
              </w:rPr>
              <w:t>.</w:t>
            </w:r>
          </w:p>
        </w:tc>
        <w:tc>
          <w:tcPr>
            <w:tcW w:w="2261" w:type="dxa"/>
            <w:tcBorders>
              <w:top w:val="nil"/>
              <w:left w:val="nil"/>
              <w:bottom w:val="single" w:sz="4" w:space="0" w:color="auto"/>
              <w:right w:val="single" w:sz="4" w:space="0" w:color="auto"/>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 </w:t>
            </w:r>
          </w:p>
        </w:tc>
      </w:tr>
      <w:tr w:rsidR="001E2BAE" w:rsidRPr="00DB139A" w:rsidTr="00DB139A">
        <w:trPr>
          <w:trHeight w:val="765"/>
        </w:trPr>
        <w:tc>
          <w:tcPr>
            <w:tcW w:w="1733" w:type="dxa"/>
            <w:tcBorders>
              <w:top w:val="nil"/>
              <w:left w:val="single" w:sz="4" w:space="0" w:color="auto"/>
              <w:bottom w:val="single" w:sz="4" w:space="0" w:color="auto"/>
              <w:right w:val="single" w:sz="4" w:space="0" w:color="auto"/>
            </w:tcBorders>
            <w:shd w:val="clear" w:color="000000" w:fill="FFFFFF"/>
            <w:vAlign w:val="center"/>
            <w:hideMark/>
          </w:tcPr>
          <w:p w:rsidR="001E2BAE" w:rsidRPr="00DB139A" w:rsidRDefault="001E2BAE" w:rsidP="001E2BAE">
            <w:pPr>
              <w:spacing w:after="0" w:line="240" w:lineRule="auto"/>
              <w:rPr>
                <w:rFonts w:eastAsia="Times New Roman" w:cs="Times New Roman"/>
                <w:b/>
                <w:bCs/>
                <w:sz w:val="20"/>
                <w:szCs w:val="20"/>
              </w:rPr>
            </w:pPr>
            <w:r w:rsidRPr="00DB139A">
              <w:rPr>
                <w:rFonts w:eastAsia="Times New Roman" w:cs="Times New Roman"/>
                <w:b/>
                <w:bCs/>
                <w:sz w:val="20"/>
                <w:szCs w:val="20"/>
              </w:rPr>
              <w:lastRenderedPageBreak/>
              <w:t xml:space="preserve">Дополнительные модели оценки ценных бумаг </w:t>
            </w:r>
          </w:p>
        </w:tc>
        <w:tc>
          <w:tcPr>
            <w:tcW w:w="1520" w:type="dxa"/>
            <w:tcBorders>
              <w:top w:val="nil"/>
              <w:left w:val="nil"/>
              <w:bottom w:val="single" w:sz="4" w:space="0" w:color="auto"/>
              <w:right w:val="single" w:sz="4" w:space="0" w:color="auto"/>
            </w:tcBorders>
            <w:shd w:val="clear" w:color="000000" w:fill="FFFFFF"/>
            <w:vAlign w:val="center"/>
            <w:hideMark/>
          </w:tcPr>
          <w:p w:rsidR="001E2BAE" w:rsidRPr="00DB139A" w:rsidRDefault="001E2BAE" w:rsidP="001E2BAE">
            <w:pPr>
              <w:spacing w:after="0" w:line="240" w:lineRule="auto"/>
              <w:jc w:val="center"/>
              <w:rPr>
                <w:rFonts w:eastAsia="Times New Roman" w:cs="Times New Roman"/>
                <w:b/>
                <w:bCs/>
                <w:sz w:val="20"/>
                <w:szCs w:val="20"/>
              </w:rPr>
            </w:pPr>
            <w:r w:rsidRPr="00DB139A">
              <w:rPr>
                <w:rFonts w:eastAsia="Times New Roman" w:cs="Times New Roman"/>
                <w:b/>
                <w:bCs/>
                <w:sz w:val="20"/>
                <w:szCs w:val="20"/>
              </w:rPr>
              <w:t xml:space="preserve">на всех уровнях </w:t>
            </w:r>
          </w:p>
        </w:tc>
        <w:tc>
          <w:tcPr>
            <w:tcW w:w="10219" w:type="dxa"/>
            <w:tcBorders>
              <w:top w:val="nil"/>
              <w:left w:val="nil"/>
              <w:bottom w:val="single" w:sz="4" w:space="0" w:color="auto"/>
              <w:right w:val="single" w:sz="4" w:space="0" w:color="auto"/>
            </w:tcBorders>
            <w:shd w:val="clear" w:color="000000" w:fill="FFFFFF"/>
            <w:hideMark/>
          </w:tcPr>
          <w:p w:rsidR="001E2BAE" w:rsidRPr="00DB139A" w:rsidRDefault="001E2BAE" w:rsidP="00DB139A">
            <w:pPr>
              <w:spacing w:after="0" w:line="240" w:lineRule="auto"/>
              <w:rPr>
                <w:rFonts w:eastAsia="Times New Roman" w:cs="Times New Roman"/>
                <w:b/>
                <w:bCs/>
                <w:sz w:val="20"/>
                <w:szCs w:val="20"/>
              </w:rPr>
            </w:pPr>
            <w:r w:rsidRPr="00DB139A">
              <w:rPr>
                <w:rFonts w:eastAsia="Times New Roman" w:cs="Times New Roman"/>
                <w:b/>
                <w:bCs/>
                <w:sz w:val="20"/>
                <w:szCs w:val="20"/>
              </w:rPr>
              <w:t xml:space="preserve">Альтернативный вариант определения справедливой стоимости приведен в Приложении 4. </w:t>
            </w:r>
          </w:p>
        </w:tc>
        <w:tc>
          <w:tcPr>
            <w:tcW w:w="2261" w:type="dxa"/>
            <w:tcBorders>
              <w:top w:val="nil"/>
              <w:left w:val="nil"/>
              <w:bottom w:val="single" w:sz="4" w:space="0" w:color="auto"/>
              <w:right w:val="single" w:sz="4" w:space="0" w:color="auto"/>
            </w:tcBorders>
            <w:shd w:val="clear" w:color="000000" w:fill="FFFFFF"/>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 </w:t>
            </w:r>
          </w:p>
        </w:tc>
      </w:tr>
      <w:tr w:rsidR="001E2BAE" w:rsidRPr="00DB139A" w:rsidTr="00DB139A">
        <w:trPr>
          <w:trHeight w:val="255"/>
        </w:trPr>
        <w:tc>
          <w:tcPr>
            <w:tcW w:w="1733" w:type="dxa"/>
            <w:tcBorders>
              <w:top w:val="nil"/>
              <w:left w:val="nil"/>
              <w:bottom w:val="nil"/>
              <w:right w:val="nil"/>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p>
        </w:tc>
        <w:tc>
          <w:tcPr>
            <w:tcW w:w="1520" w:type="dxa"/>
            <w:tcBorders>
              <w:top w:val="nil"/>
              <w:left w:val="nil"/>
              <w:bottom w:val="nil"/>
              <w:right w:val="nil"/>
            </w:tcBorders>
            <w:shd w:val="clear" w:color="auto" w:fill="auto"/>
            <w:vAlign w:val="center"/>
            <w:hideMark/>
          </w:tcPr>
          <w:p w:rsidR="001E2BAE" w:rsidRPr="00DB139A" w:rsidRDefault="001E2BAE" w:rsidP="001E2BAE">
            <w:pPr>
              <w:spacing w:after="0" w:line="240" w:lineRule="auto"/>
              <w:jc w:val="center"/>
              <w:rPr>
                <w:rFonts w:eastAsia="Times New Roman" w:cs="Times New Roman"/>
                <w:sz w:val="20"/>
                <w:szCs w:val="20"/>
              </w:rPr>
            </w:pPr>
          </w:p>
        </w:tc>
        <w:tc>
          <w:tcPr>
            <w:tcW w:w="10219" w:type="dxa"/>
            <w:tcBorders>
              <w:top w:val="nil"/>
              <w:left w:val="nil"/>
              <w:bottom w:val="nil"/>
              <w:right w:val="nil"/>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p>
        </w:tc>
        <w:tc>
          <w:tcPr>
            <w:tcW w:w="2261" w:type="dxa"/>
            <w:tcBorders>
              <w:top w:val="nil"/>
              <w:left w:val="nil"/>
              <w:bottom w:val="nil"/>
              <w:right w:val="nil"/>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p>
        </w:tc>
      </w:tr>
      <w:tr w:rsidR="001E2BAE" w:rsidRPr="00DB139A" w:rsidTr="00DB139A">
        <w:trPr>
          <w:trHeight w:val="255"/>
        </w:trPr>
        <w:tc>
          <w:tcPr>
            <w:tcW w:w="13472" w:type="dxa"/>
            <w:gridSpan w:val="3"/>
            <w:tcBorders>
              <w:top w:val="nil"/>
              <w:left w:val="nil"/>
              <w:bottom w:val="nil"/>
              <w:right w:val="nil"/>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r w:rsidRPr="00DB139A">
              <w:rPr>
                <w:rFonts w:eastAsia="Times New Roman" w:cs="Times New Roman"/>
                <w:sz w:val="20"/>
                <w:szCs w:val="20"/>
              </w:rPr>
              <w:t>Для всех инструментов Правилами определения СЧА может быть предусмотрен иной порядок определения справедливой стоимости, в случае его согласования со специализированным депозитарием</w:t>
            </w:r>
          </w:p>
        </w:tc>
        <w:tc>
          <w:tcPr>
            <w:tcW w:w="2261" w:type="dxa"/>
            <w:tcBorders>
              <w:top w:val="nil"/>
              <w:left w:val="nil"/>
              <w:bottom w:val="nil"/>
              <w:right w:val="nil"/>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p>
        </w:tc>
      </w:tr>
      <w:tr w:rsidR="001E2BAE" w:rsidRPr="00DB139A" w:rsidTr="00DB139A">
        <w:trPr>
          <w:trHeight w:val="255"/>
        </w:trPr>
        <w:tc>
          <w:tcPr>
            <w:tcW w:w="1733" w:type="dxa"/>
            <w:tcBorders>
              <w:top w:val="nil"/>
              <w:left w:val="nil"/>
              <w:bottom w:val="nil"/>
              <w:right w:val="nil"/>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p>
        </w:tc>
        <w:tc>
          <w:tcPr>
            <w:tcW w:w="1520" w:type="dxa"/>
            <w:tcBorders>
              <w:top w:val="nil"/>
              <w:left w:val="nil"/>
              <w:bottom w:val="nil"/>
              <w:right w:val="nil"/>
            </w:tcBorders>
            <w:shd w:val="clear" w:color="auto" w:fill="auto"/>
            <w:vAlign w:val="center"/>
            <w:hideMark/>
          </w:tcPr>
          <w:p w:rsidR="001E2BAE" w:rsidRPr="00DB139A" w:rsidRDefault="001E2BAE" w:rsidP="001E2BAE">
            <w:pPr>
              <w:spacing w:after="0" w:line="240" w:lineRule="auto"/>
              <w:jc w:val="center"/>
              <w:rPr>
                <w:rFonts w:eastAsia="Times New Roman" w:cs="Times New Roman"/>
                <w:sz w:val="20"/>
                <w:szCs w:val="20"/>
              </w:rPr>
            </w:pPr>
          </w:p>
        </w:tc>
        <w:tc>
          <w:tcPr>
            <w:tcW w:w="10219" w:type="dxa"/>
            <w:tcBorders>
              <w:top w:val="nil"/>
              <w:left w:val="nil"/>
              <w:bottom w:val="nil"/>
              <w:right w:val="nil"/>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p>
        </w:tc>
        <w:tc>
          <w:tcPr>
            <w:tcW w:w="2261" w:type="dxa"/>
            <w:tcBorders>
              <w:top w:val="nil"/>
              <w:left w:val="nil"/>
              <w:bottom w:val="nil"/>
              <w:right w:val="nil"/>
            </w:tcBorders>
            <w:shd w:val="clear" w:color="auto" w:fill="auto"/>
            <w:vAlign w:val="center"/>
            <w:hideMark/>
          </w:tcPr>
          <w:p w:rsidR="001E2BAE" w:rsidRPr="00DB139A" w:rsidRDefault="001E2BAE" w:rsidP="001E2BAE">
            <w:pPr>
              <w:spacing w:after="0" w:line="240" w:lineRule="auto"/>
              <w:rPr>
                <w:rFonts w:eastAsia="Times New Roman" w:cs="Times New Roman"/>
                <w:sz w:val="20"/>
                <w:szCs w:val="20"/>
              </w:rPr>
            </w:pPr>
          </w:p>
        </w:tc>
      </w:tr>
    </w:tbl>
    <w:p w:rsidR="0096566C" w:rsidRDefault="0096566C"/>
    <w:sectPr w:rsidR="0096566C" w:rsidSect="001E2BAE">
      <w:headerReference w:type="even" r:id="rId9"/>
      <w:headerReference w:type="default" r:id="rId10"/>
      <w:footerReference w:type="even" r:id="rId11"/>
      <w:footerReference w:type="default" r:id="rId12"/>
      <w:headerReference w:type="first" r:id="rId13"/>
      <w:footerReference w:type="first" r:id="rId14"/>
      <w:pgSz w:w="16838" w:h="11906" w:orient="landscape"/>
      <w:pgMar w:top="720" w:right="720" w:bottom="720" w:left="72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B9FAA8F" w15:done="0"/>
  <w15:commentEx w15:paraId="4C799694" w15:done="0"/>
  <w15:commentEx w15:paraId="2D667CE3" w15:done="0"/>
  <w15:commentEx w15:paraId="436FA000" w15:paraIdParent="2D667CE3" w15:done="0"/>
  <w15:commentEx w15:paraId="21EE31E9" w15:done="0"/>
  <w15:commentEx w15:paraId="695C686B" w15:done="0"/>
  <w15:commentEx w15:paraId="191EC337" w15:paraIdParent="695C686B" w15:done="0"/>
  <w15:commentEx w15:paraId="0585F567" w15:done="0"/>
  <w15:commentEx w15:paraId="2ABDC8E4" w15:paraIdParent="0585F567" w15:done="0"/>
  <w15:commentEx w15:paraId="1D6E9FE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264" w:rsidRDefault="00012264" w:rsidP="003C6C50">
      <w:pPr>
        <w:spacing w:after="0" w:line="240" w:lineRule="auto"/>
      </w:pPr>
      <w:r>
        <w:separator/>
      </w:r>
    </w:p>
  </w:endnote>
  <w:endnote w:type="continuationSeparator" w:id="0">
    <w:p w:rsidR="00012264" w:rsidRDefault="00012264" w:rsidP="003C6C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C50" w:rsidRDefault="003C6C50">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C50" w:rsidRDefault="003C6C50">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C50" w:rsidRDefault="003C6C50">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264" w:rsidRDefault="00012264" w:rsidP="003C6C50">
      <w:pPr>
        <w:spacing w:after="0" w:line="240" w:lineRule="auto"/>
      </w:pPr>
      <w:r>
        <w:separator/>
      </w:r>
    </w:p>
  </w:footnote>
  <w:footnote w:type="continuationSeparator" w:id="0">
    <w:p w:rsidR="00012264" w:rsidRDefault="00012264" w:rsidP="003C6C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C50" w:rsidRDefault="003C6C50">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C50" w:rsidRDefault="003C6C50" w:rsidP="003C6C50">
    <w:pPr>
      <w:tabs>
        <w:tab w:val="left" w:pos="3069"/>
      </w:tabs>
      <w:spacing w:after="0" w:line="240" w:lineRule="auto"/>
      <w:jc w:val="right"/>
      <w:rPr>
        <w:rFonts w:eastAsia="Calibri"/>
        <w:szCs w:val="24"/>
      </w:rPr>
    </w:pPr>
    <w:r>
      <w:rPr>
        <w:rFonts w:eastAsia="Calibri"/>
        <w:szCs w:val="24"/>
      </w:rPr>
      <w:t>Приложение №1</w:t>
    </w:r>
  </w:p>
  <w:p w:rsidR="003C6C50" w:rsidRDefault="003C6C50" w:rsidP="003C6C50">
    <w:pPr>
      <w:tabs>
        <w:tab w:val="left" w:pos="3069"/>
      </w:tabs>
      <w:spacing w:after="0" w:line="240" w:lineRule="auto"/>
      <w:jc w:val="right"/>
      <w:rPr>
        <w:rFonts w:eastAsia="Calibri"/>
        <w:szCs w:val="24"/>
      </w:rPr>
    </w:pPr>
    <w:r>
      <w:rPr>
        <w:rFonts w:eastAsia="Calibri"/>
        <w:szCs w:val="24"/>
      </w:rPr>
      <w:t xml:space="preserve">к Стандартам НАУФОР </w:t>
    </w:r>
  </w:p>
  <w:p w:rsidR="003C6C50" w:rsidRDefault="003C6C50" w:rsidP="003C6C50">
    <w:pPr>
      <w:tabs>
        <w:tab w:val="left" w:pos="3069"/>
      </w:tabs>
      <w:spacing w:after="0" w:line="240" w:lineRule="auto"/>
      <w:jc w:val="right"/>
      <w:rPr>
        <w:rFonts w:eastAsia="Calibri"/>
        <w:szCs w:val="24"/>
      </w:rPr>
    </w:pPr>
    <w:r>
      <w:rPr>
        <w:rFonts w:eastAsia="Calibri"/>
        <w:szCs w:val="24"/>
      </w:rPr>
      <w:t xml:space="preserve">определения стоимости чистых активов </w:t>
    </w:r>
  </w:p>
  <w:p w:rsidR="003C6C50" w:rsidRDefault="003C6C50" w:rsidP="003C6C50">
    <w:pPr>
      <w:tabs>
        <w:tab w:val="left" w:pos="3069"/>
      </w:tabs>
      <w:spacing w:after="0" w:line="240" w:lineRule="auto"/>
      <w:jc w:val="right"/>
      <w:rPr>
        <w:rFonts w:eastAsia="Calibri"/>
        <w:szCs w:val="24"/>
      </w:rPr>
    </w:pPr>
    <w:r>
      <w:rPr>
        <w:rFonts w:eastAsia="Calibri"/>
        <w:szCs w:val="24"/>
      </w:rPr>
      <w:t>паевого инвестиционного фонда</w:t>
    </w:r>
  </w:p>
  <w:p w:rsidR="003C6C50" w:rsidRDefault="003C6C50" w:rsidP="003C6C50">
    <w:pPr>
      <w:tabs>
        <w:tab w:val="left" w:pos="3069"/>
      </w:tabs>
      <w:spacing w:after="0" w:line="240" w:lineRule="auto"/>
      <w:jc w:val="right"/>
      <w:rPr>
        <w:rFonts w:eastAsia="Calibri"/>
        <w:szCs w:val="24"/>
      </w:rPr>
    </w:pPr>
    <w:r>
      <w:rPr>
        <w:rFonts w:eastAsia="Calibri"/>
        <w:szCs w:val="24"/>
      </w:rPr>
      <w:t xml:space="preserve"> и стоимости инвестиционного пая</w:t>
    </w:r>
  </w:p>
  <w:p w:rsidR="003C6C50" w:rsidRDefault="003C6C50">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C50" w:rsidRDefault="003C6C50">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AB7DD2"/>
    <w:multiLevelType w:val="multilevel"/>
    <w:tmpl w:val="6838BD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Аристова Вера">
    <w15:presenceInfo w15:providerId="AD" w15:userId="S-1-5-21-786722839-2810560312-2866669444-219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E2BAE"/>
    <w:rsid w:val="00012264"/>
    <w:rsid w:val="00075B47"/>
    <w:rsid w:val="00102412"/>
    <w:rsid w:val="001034F3"/>
    <w:rsid w:val="00135ADF"/>
    <w:rsid w:val="001652FF"/>
    <w:rsid w:val="00181D63"/>
    <w:rsid w:val="00186EBC"/>
    <w:rsid w:val="001E0056"/>
    <w:rsid w:val="001E2BAE"/>
    <w:rsid w:val="0023546D"/>
    <w:rsid w:val="002872A9"/>
    <w:rsid w:val="0039665C"/>
    <w:rsid w:val="003A51B0"/>
    <w:rsid w:val="003C6C50"/>
    <w:rsid w:val="00430C33"/>
    <w:rsid w:val="00471CEC"/>
    <w:rsid w:val="004C46A3"/>
    <w:rsid w:val="00535415"/>
    <w:rsid w:val="0055784D"/>
    <w:rsid w:val="005D7463"/>
    <w:rsid w:val="00635757"/>
    <w:rsid w:val="00654E31"/>
    <w:rsid w:val="00672AB0"/>
    <w:rsid w:val="006E4DBF"/>
    <w:rsid w:val="007D7936"/>
    <w:rsid w:val="007E264A"/>
    <w:rsid w:val="0080145F"/>
    <w:rsid w:val="00826719"/>
    <w:rsid w:val="008555E1"/>
    <w:rsid w:val="008F45A0"/>
    <w:rsid w:val="009544DB"/>
    <w:rsid w:val="00961D96"/>
    <w:rsid w:val="00962063"/>
    <w:rsid w:val="0096566C"/>
    <w:rsid w:val="009D67F0"/>
    <w:rsid w:val="009E69F1"/>
    <w:rsid w:val="00A241F8"/>
    <w:rsid w:val="00A70281"/>
    <w:rsid w:val="00B047EE"/>
    <w:rsid w:val="00B34455"/>
    <w:rsid w:val="00B52F77"/>
    <w:rsid w:val="00B53E7F"/>
    <w:rsid w:val="00B777CF"/>
    <w:rsid w:val="00B862F5"/>
    <w:rsid w:val="00BA2DD9"/>
    <w:rsid w:val="00BB7FA4"/>
    <w:rsid w:val="00BD2E4C"/>
    <w:rsid w:val="00C40F52"/>
    <w:rsid w:val="00C741B9"/>
    <w:rsid w:val="00C8443F"/>
    <w:rsid w:val="00C93544"/>
    <w:rsid w:val="00CF37C8"/>
    <w:rsid w:val="00D33EE6"/>
    <w:rsid w:val="00D437A0"/>
    <w:rsid w:val="00D45805"/>
    <w:rsid w:val="00D53DC6"/>
    <w:rsid w:val="00D563B3"/>
    <w:rsid w:val="00DB139A"/>
    <w:rsid w:val="00DD26AE"/>
    <w:rsid w:val="00E065AE"/>
    <w:rsid w:val="00E41029"/>
    <w:rsid w:val="00EA702F"/>
    <w:rsid w:val="00F60D75"/>
    <w:rsid w:val="00FD69F4"/>
    <w:rsid w:val="00FE1C5B"/>
    <w:rsid w:val="00FE4323"/>
    <w:rsid w:val="00FE7C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4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2BAE"/>
    <w:pPr>
      <w:ind w:left="720"/>
      <w:contextualSpacing/>
    </w:pPr>
  </w:style>
  <w:style w:type="character" w:styleId="a4">
    <w:name w:val="annotation reference"/>
    <w:basedOn w:val="a0"/>
    <w:uiPriority w:val="99"/>
    <w:semiHidden/>
    <w:unhideWhenUsed/>
    <w:rsid w:val="003A51B0"/>
    <w:rPr>
      <w:sz w:val="16"/>
      <w:szCs w:val="16"/>
    </w:rPr>
  </w:style>
  <w:style w:type="paragraph" w:styleId="a5">
    <w:name w:val="annotation text"/>
    <w:basedOn w:val="a"/>
    <w:link w:val="a6"/>
    <w:uiPriority w:val="99"/>
    <w:unhideWhenUsed/>
    <w:rsid w:val="003A51B0"/>
    <w:pPr>
      <w:spacing w:line="240" w:lineRule="auto"/>
    </w:pPr>
    <w:rPr>
      <w:sz w:val="20"/>
      <w:szCs w:val="20"/>
    </w:rPr>
  </w:style>
  <w:style w:type="character" w:customStyle="1" w:styleId="a6">
    <w:name w:val="Текст примечания Знак"/>
    <w:basedOn w:val="a0"/>
    <w:link w:val="a5"/>
    <w:uiPriority w:val="99"/>
    <w:rsid w:val="003A51B0"/>
    <w:rPr>
      <w:sz w:val="20"/>
      <w:szCs w:val="20"/>
    </w:rPr>
  </w:style>
  <w:style w:type="paragraph" w:styleId="a7">
    <w:name w:val="annotation subject"/>
    <w:basedOn w:val="a5"/>
    <w:next w:val="a5"/>
    <w:link w:val="a8"/>
    <w:uiPriority w:val="99"/>
    <w:semiHidden/>
    <w:unhideWhenUsed/>
    <w:rsid w:val="003A51B0"/>
    <w:rPr>
      <w:b/>
      <w:bCs/>
    </w:rPr>
  </w:style>
  <w:style w:type="character" w:customStyle="1" w:styleId="a8">
    <w:name w:val="Тема примечания Знак"/>
    <w:basedOn w:val="a6"/>
    <w:link w:val="a7"/>
    <w:uiPriority w:val="99"/>
    <w:semiHidden/>
    <w:rsid w:val="003A51B0"/>
    <w:rPr>
      <w:b/>
      <w:bCs/>
      <w:sz w:val="20"/>
      <w:szCs w:val="20"/>
    </w:rPr>
  </w:style>
  <w:style w:type="paragraph" w:styleId="a9">
    <w:name w:val="Balloon Text"/>
    <w:basedOn w:val="a"/>
    <w:link w:val="aa"/>
    <w:uiPriority w:val="99"/>
    <w:semiHidden/>
    <w:unhideWhenUsed/>
    <w:rsid w:val="003A51B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3A51B0"/>
    <w:rPr>
      <w:rFonts w:ascii="Segoe UI" w:hAnsi="Segoe UI" w:cs="Segoe UI"/>
      <w:sz w:val="18"/>
      <w:szCs w:val="18"/>
    </w:rPr>
  </w:style>
  <w:style w:type="paragraph" w:styleId="ab">
    <w:name w:val="Revision"/>
    <w:hidden/>
    <w:uiPriority w:val="99"/>
    <w:semiHidden/>
    <w:rsid w:val="00E065AE"/>
    <w:pPr>
      <w:spacing w:after="0" w:line="240" w:lineRule="auto"/>
    </w:pPr>
  </w:style>
  <w:style w:type="paragraph" w:styleId="ac">
    <w:name w:val="header"/>
    <w:basedOn w:val="a"/>
    <w:link w:val="ad"/>
    <w:uiPriority w:val="99"/>
    <w:semiHidden/>
    <w:unhideWhenUsed/>
    <w:rsid w:val="003C6C50"/>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3C6C50"/>
  </w:style>
  <w:style w:type="paragraph" w:styleId="ae">
    <w:name w:val="footer"/>
    <w:basedOn w:val="a"/>
    <w:link w:val="af"/>
    <w:uiPriority w:val="99"/>
    <w:semiHidden/>
    <w:unhideWhenUsed/>
    <w:rsid w:val="003C6C50"/>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3C6C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2BAE"/>
    <w:pPr>
      <w:ind w:left="720"/>
      <w:contextualSpacing/>
    </w:pPr>
  </w:style>
  <w:style w:type="character" w:styleId="a4">
    <w:name w:val="annotation reference"/>
    <w:basedOn w:val="a0"/>
    <w:uiPriority w:val="99"/>
    <w:semiHidden/>
    <w:unhideWhenUsed/>
    <w:rsid w:val="003A51B0"/>
    <w:rPr>
      <w:sz w:val="16"/>
      <w:szCs w:val="16"/>
    </w:rPr>
  </w:style>
  <w:style w:type="paragraph" w:styleId="a5">
    <w:name w:val="annotation text"/>
    <w:basedOn w:val="a"/>
    <w:link w:val="a6"/>
    <w:uiPriority w:val="99"/>
    <w:unhideWhenUsed/>
    <w:rsid w:val="003A51B0"/>
    <w:pPr>
      <w:spacing w:line="240" w:lineRule="auto"/>
    </w:pPr>
    <w:rPr>
      <w:sz w:val="20"/>
      <w:szCs w:val="20"/>
    </w:rPr>
  </w:style>
  <w:style w:type="character" w:customStyle="1" w:styleId="a6">
    <w:name w:val="Текст примечания Знак"/>
    <w:basedOn w:val="a0"/>
    <w:link w:val="a5"/>
    <w:uiPriority w:val="99"/>
    <w:rsid w:val="003A51B0"/>
    <w:rPr>
      <w:sz w:val="20"/>
      <w:szCs w:val="20"/>
    </w:rPr>
  </w:style>
  <w:style w:type="paragraph" w:styleId="a7">
    <w:name w:val="annotation subject"/>
    <w:basedOn w:val="a5"/>
    <w:next w:val="a5"/>
    <w:link w:val="a8"/>
    <w:uiPriority w:val="99"/>
    <w:semiHidden/>
    <w:unhideWhenUsed/>
    <w:rsid w:val="003A51B0"/>
    <w:rPr>
      <w:b/>
      <w:bCs/>
    </w:rPr>
  </w:style>
  <w:style w:type="character" w:customStyle="1" w:styleId="a8">
    <w:name w:val="Тема примечания Знак"/>
    <w:basedOn w:val="a6"/>
    <w:link w:val="a7"/>
    <w:uiPriority w:val="99"/>
    <w:semiHidden/>
    <w:rsid w:val="003A51B0"/>
    <w:rPr>
      <w:b/>
      <w:bCs/>
      <w:sz w:val="20"/>
      <w:szCs w:val="20"/>
    </w:rPr>
  </w:style>
  <w:style w:type="paragraph" w:styleId="a9">
    <w:name w:val="Balloon Text"/>
    <w:basedOn w:val="a"/>
    <w:link w:val="aa"/>
    <w:uiPriority w:val="99"/>
    <w:semiHidden/>
    <w:unhideWhenUsed/>
    <w:rsid w:val="003A51B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3A51B0"/>
    <w:rPr>
      <w:rFonts w:ascii="Segoe UI" w:hAnsi="Segoe UI" w:cs="Segoe UI"/>
      <w:sz w:val="18"/>
      <w:szCs w:val="18"/>
    </w:rPr>
  </w:style>
  <w:style w:type="paragraph" w:styleId="ab">
    <w:name w:val="Revision"/>
    <w:hidden/>
    <w:uiPriority w:val="99"/>
    <w:semiHidden/>
    <w:rsid w:val="00E065AE"/>
    <w:pPr>
      <w:spacing w:after="0" w:line="240" w:lineRule="auto"/>
    </w:pPr>
  </w:style>
  <w:style w:type="paragraph" w:styleId="ac">
    <w:name w:val="header"/>
    <w:basedOn w:val="a"/>
    <w:link w:val="ad"/>
    <w:uiPriority w:val="99"/>
    <w:semiHidden/>
    <w:unhideWhenUsed/>
    <w:rsid w:val="003C6C50"/>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3C6C50"/>
  </w:style>
  <w:style w:type="paragraph" w:styleId="ae">
    <w:name w:val="footer"/>
    <w:basedOn w:val="a"/>
    <w:link w:val="af"/>
    <w:uiPriority w:val="99"/>
    <w:semiHidden/>
    <w:unhideWhenUsed/>
    <w:rsid w:val="003C6C50"/>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3C6C50"/>
  </w:style>
</w:styles>
</file>

<file path=word/webSettings.xml><?xml version="1.0" encoding="utf-8"?>
<w:webSettings xmlns:r="http://schemas.openxmlformats.org/officeDocument/2006/relationships" xmlns:w="http://schemas.openxmlformats.org/wordprocessingml/2006/main">
  <w:divs>
    <w:div w:id="491020184">
      <w:bodyDiv w:val="1"/>
      <w:marLeft w:val="0"/>
      <w:marRight w:val="0"/>
      <w:marTop w:val="0"/>
      <w:marBottom w:val="0"/>
      <w:divBdr>
        <w:top w:val="none" w:sz="0" w:space="0" w:color="auto"/>
        <w:left w:val="none" w:sz="0" w:space="0" w:color="auto"/>
        <w:bottom w:val="none" w:sz="0" w:space="0" w:color="auto"/>
        <w:right w:val="none" w:sz="0" w:space="0" w:color="auto"/>
      </w:divBdr>
    </w:div>
    <w:div w:id="696664191">
      <w:bodyDiv w:val="1"/>
      <w:marLeft w:val="0"/>
      <w:marRight w:val="0"/>
      <w:marTop w:val="0"/>
      <w:marBottom w:val="0"/>
      <w:divBdr>
        <w:top w:val="none" w:sz="0" w:space="0" w:color="auto"/>
        <w:left w:val="none" w:sz="0" w:space="0" w:color="auto"/>
        <w:bottom w:val="none" w:sz="0" w:space="0" w:color="auto"/>
        <w:right w:val="none" w:sz="0" w:space="0" w:color="auto"/>
      </w:divBdr>
    </w:div>
    <w:div w:id="996031407">
      <w:bodyDiv w:val="1"/>
      <w:marLeft w:val="0"/>
      <w:marRight w:val="0"/>
      <w:marTop w:val="0"/>
      <w:marBottom w:val="0"/>
      <w:divBdr>
        <w:top w:val="none" w:sz="0" w:space="0" w:color="auto"/>
        <w:left w:val="none" w:sz="0" w:space="0" w:color="auto"/>
        <w:bottom w:val="none" w:sz="0" w:space="0" w:color="auto"/>
        <w:right w:val="none" w:sz="0" w:space="0" w:color="auto"/>
      </w:divBdr>
    </w:div>
    <w:div w:id="1047879254">
      <w:bodyDiv w:val="1"/>
      <w:marLeft w:val="0"/>
      <w:marRight w:val="0"/>
      <w:marTop w:val="0"/>
      <w:marBottom w:val="0"/>
      <w:divBdr>
        <w:top w:val="none" w:sz="0" w:space="0" w:color="auto"/>
        <w:left w:val="none" w:sz="0" w:space="0" w:color="auto"/>
        <w:bottom w:val="none" w:sz="0" w:space="0" w:color="auto"/>
        <w:right w:val="none" w:sz="0" w:space="0" w:color="auto"/>
      </w:divBdr>
    </w:div>
    <w:div w:id="1053115393">
      <w:bodyDiv w:val="1"/>
      <w:marLeft w:val="0"/>
      <w:marRight w:val="0"/>
      <w:marTop w:val="0"/>
      <w:marBottom w:val="0"/>
      <w:divBdr>
        <w:top w:val="none" w:sz="0" w:space="0" w:color="auto"/>
        <w:left w:val="none" w:sz="0" w:space="0" w:color="auto"/>
        <w:bottom w:val="none" w:sz="0" w:space="0" w:color="auto"/>
        <w:right w:val="none" w:sz="0" w:space="0" w:color="auto"/>
      </w:divBdr>
      <w:divsChild>
        <w:div w:id="1963149435">
          <w:marLeft w:val="0"/>
          <w:marRight w:val="0"/>
          <w:marTop w:val="0"/>
          <w:marBottom w:val="0"/>
          <w:divBdr>
            <w:top w:val="none" w:sz="0" w:space="0" w:color="auto"/>
            <w:left w:val="none" w:sz="0" w:space="0" w:color="auto"/>
            <w:bottom w:val="none" w:sz="0" w:space="0" w:color="auto"/>
            <w:right w:val="none" w:sz="0" w:space="0" w:color="auto"/>
          </w:divBdr>
          <w:divsChild>
            <w:div w:id="1601137184">
              <w:marLeft w:val="0"/>
              <w:marRight w:val="0"/>
              <w:marTop w:val="150"/>
              <w:marBottom w:val="0"/>
              <w:divBdr>
                <w:top w:val="none" w:sz="0" w:space="0" w:color="auto"/>
                <w:left w:val="none" w:sz="0" w:space="0" w:color="auto"/>
                <w:bottom w:val="none" w:sz="0" w:space="0" w:color="auto"/>
                <w:right w:val="none" w:sz="0" w:space="0" w:color="auto"/>
              </w:divBdr>
              <w:divsChild>
                <w:div w:id="822428405">
                  <w:marLeft w:val="0"/>
                  <w:marRight w:val="0"/>
                  <w:marTop w:val="0"/>
                  <w:marBottom w:val="0"/>
                  <w:divBdr>
                    <w:top w:val="none" w:sz="0" w:space="0" w:color="auto"/>
                    <w:left w:val="none" w:sz="0" w:space="0" w:color="auto"/>
                    <w:bottom w:val="none" w:sz="0" w:space="0" w:color="auto"/>
                    <w:right w:val="none" w:sz="0" w:space="0" w:color="auto"/>
                  </w:divBdr>
                  <w:divsChild>
                    <w:div w:id="1096294020">
                      <w:marLeft w:val="0"/>
                      <w:marRight w:val="0"/>
                      <w:marTop w:val="0"/>
                      <w:marBottom w:val="0"/>
                      <w:divBdr>
                        <w:top w:val="none" w:sz="0" w:space="0" w:color="auto"/>
                        <w:left w:val="none" w:sz="0" w:space="0" w:color="auto"/>
                        <w:bottom w:val="none" w:sz="0" w:space="0" w:color="auto"/>
                        <w:right w:val="none" w:sz="0" w:space="0" w:color="auto"/>
                      </w:divBdr>
                      <w:divsChild>
                        <w:div w:id="1826041841">
                          <w:marLeft w:val="-75"/>
                          <w:marRight w:val="-75"/>
                          <w:marTop w:val="0"/>
                          <w:marBottom w:val="0"/>
                          <w:divBdr>
                            <w:top w:val="none" w:sz="0" w:space="0" w:color="auto"/>
                            <w:left w:val="none" w:sz="0" w:space="0" w:color="auto"/>
                            <w:bottom w:val="none" w:sz="0" w:space="0" w:color="auto"/>
                            <w:right w:val="none" w:sz="0" w:space="0" w:color="auto"/>
                          </w:divBdr>
                          <w:divsChild>
                            <w:div w:id="1002852444">
                              <w:marLeft w:val="0"/>
                              <w:marRight w:val="0"/>
                              <w:marTop w:val="0"/>
                              <w:marBottom w:val="0"/>
                              <w:divBdr>
                                <w:top w:val="none" w:sz="0" w:space="0" w:color="auto"/>
                                <w:left w:val="none" w:sz="0" w:space="0" w:color="auto"/>
                                <w:bottom w:val="none" w:sz="0" w:space="0" w:color="auto"/>
                                <w:right w:val="none" w:sz="0" w:space="0" w:color="auto"/>
                              </w:divBdr>
                              <w:divsChild>
                                <w:div w:id="1054736509">
                                  <w:marLeft w:val="0"/>
                                  <w:marRight w:val="0"/>
                                  <w:marTop w:val="0"/>
                                  <w:marBottom w:val="0"/>
                                  <w:divBdr>
                                    <w:top w:val="none" w:sz="0" w:space="0" w:color="auto"/>
                                    <w:left w:val="none" w:sz="0" w:space="0" w:color="auto"/>
                                    <w:bottom w:val="none" w:sz="0" w:space="0" w:color="auto"/>
                                    <w:right w:val="none" w:sz="0" w:space="0" w:color="auto"/>
                                  </w:divBdr>
                                  <w:divsChild>
                                    <w:div w:id="736587025">
                                      <w:marLeft w:val="0"/>
                                      <w:marRight w:val="0"/>
                                      <w:marTop w:val="150"/>
                                      <w:marBottom w:val="0"/>
                                      <w:divBdr>
                                        <w:top w:val="none" w:sz="0" w:space="0" w:color="auto"/>
                                        <w:left w:val="none" w:sz="0" w:space="0" w:color="auto"/>
                                        <w:bottom w:val="none" w:sz="0" w:space="0" w:color="auto"/>
                                        <w:right w:val="none" w:sz="0" w:space="0" w:color="auto"/>
                                      </w:divBdr>
                                      <w:divsChild>
                                        <w:div w:id="1824858849">
                                          <w:marLeft w:val="0"/>
                                          <w:marRight w:val="0"/>
                                          <w:marTop w:val="0"/>
                                          <w:marBottom w:val="0"/>
                                          <w:divBdr>
                                            <w:top w:val="none" w:sz="0" w:space="0" w:color="auto"/>
                                            <w:left w:val="none" w:sz="0" w:space="0" w:color="auto"/>
                                            <w:bottom w:val="none" w:sz="0" w:space="0" w:color="auto"/>
                                            <w:right w:val="none" w:sz="0" w:space="0" w:color="auto"/>
                                          </w:divBdr>
                                          <w:divsChild>
                                            <w:div w:id="1599674983">
                                              <w:marLeft w:val="0"/>
                                              <w:marRight w:val="0"/>
                                              <w:marTop w:val="0"/>
                                              <w:marBottom w:val="0"/>
                                              <w:divBdr>
                                                <w:top w:val="none" w:sz="0" w:space="0" w:color="auto"/>
                                                <w:left w:val="none" w:sz="0" w:space="0" w:color="auto"/>
                                                <w:bottom w:val="none" w:sz="0" w:space="0" w:color="auto"/>
                                                <w:right w:val="none" w:sz="0" w:space="0" w:color="auto"/>
                                              </w:divBdr>
                                              <w:divsChild>
                                                <w:div w:id="1862427420">
                                                  <w:marLeft w:val="0"/>
                                                  <w:marRight w:val="0"/>
                                                  <w:marTop w:val="150"/>
                                                  <w:marBottom w:val="0"/>
                                                  <w:divBdr>
                                                    <w:top w:val="none" w:sz="0" w:space="0" w:color="auto"/>
                                                    <w:left w:val="none" w:sz="0" w:space="0" w:color="auto"/>
                                                    <w:bottom w:val="none" w:sz="0" w:space="0" w:color="auto"/>
                                                    <w:right w:val="none" w:sz="0" w:space="0" w:color="auto"/>
                                                  </w:divBdr>
                                                  <w:divsChild>
                                                    <w:div w:id="1642929397">
                                                      <w:marLeft w:val="0"/>
                                                      <w:marRight w:val="0"/>
                                                      <w:marTop w:val="0"/>
                                                      <w:marBottom w:val="0"/>
                                                      <w:divBdr>
                                                        <w:top w:val="none" w:sz="0" w:space="0" w:color="auto"/>
                                                        <w:left w:val="none" w:sz="0" w:space="0" w:color="auto"/>
                                                        <w:bottom w:val="none" w:sz="0" w:space="0" w:color="auto"/>
                                                        <w:right w:val="none" w:sz="0" w:space="0" w:color="auto"/>
                                                      </w:divBdr>
                                                      <w:divsChild>
                                                        <w:div w:id="83692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71076476">
      <w:bodyDiv w:val="1"/>
      <w:marLeft w:val="0"/>
      <w:marRight w:val="0"/>
      <w:marTop w:val="0"/>
      <w:marBottom w:val="0"/>
      <w:divBdr>
        <w:top w:val="none" w:sz="0" w:space="0" w:color="auto"/>
        <w:left w:val="none" w:sz="0" w:space="0" w:color="auto"/>
        <w:bottom w:val="none" w:sz="0" w:space="0" w:color="auto"/>
        <w:right w:val="none" w:sz="0" w:space="0" w:color="auto"/>
      </w:divBdr>
      <w:divsChild>
        <w:div w:id="827134935">
          <w:marLeft w:val="360"/>
          <w:marRight w:val="0"/>
          <w:marTop w:val="0"/>
          <w:marBottom w:val="0"/>
          <w:divBdr>
            <w:top w:val="none" w:sz="0" w:space="0" w:color="auto"/>
            <w:left w:val="none" w:sz="0" w:space="0" w:color="auto"/>
            <w:bottom w:val="none" w:sz="0" w:space="0" w:color="auto"/>
            <w:right w:val="none" w:sz="0" w:space="0" w:color="auto"/>
          </w:divBdr>
        </w:div>
      </w:divsChild>
    </w:div>
    <w:div w:id="1409766080">
      <w:bodyDiv w:val="1"/>
      <w:marLeft w:val="0"/>
      <w:marRight w:val="0"/>
      <w:marTop w:val="0"/>
      <w:marBottom w:val="0"/>
      <w:divBdr>
        <w:top w:val="none" w:sz="0" w:space="0" w:color="auto"/>
        <w:left w:val="none" w:sz="0" w:space="0" w:color="auto"/>
        <w:bottom w:val="none" w:sz="0" w:space="0" w:color="auto"/>
        <w:right w:val="none" w:sz="0" w:space="0" w:color="auto"/>
      </w:divBdr>
    </w:div>
    <w:div w:id="177158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40DBE-22C8-4159-AB02-A7DE09BF9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3249</Words>
  <Characters>18522</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gantseva</dc:creator>
  <cp:lastModifiedBy>gantseva</cp:lastModifiedBy>
  <cp:revision>5</cp:revision>
  <dcterms:created xsi:type="dcterms:W3CDTF">2018-10-02T10:42:00Z</dcterms:created>
  <dcterms:modified xsi:type="dcterms:W3CDTF">2018-10-03T09:01:00Z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-1601752253</vt:i4>
  </property>
  <property fmtid="{D5CDD505-2E9C-101B-9397-08002B2CF9AE}" pid="4" name="_EmailSubject">
    <vt:lpwstr>Стандарты СЧА</vt:lpwstr>
  </property>
  <property fmtid="{D5CDD505-2E9C-101B-9397-08002B2CF9AE}" pid="5" name="_AuthorEmail">
    <vt:lpwstr>V.Aristova@sdkgarant.ru</vt:lpwstr>
  </property>
  <property fmtid="{D5CDD505-2E9C-101B-9397-08002B2CF9AE}" pid="6" name="_AuthorEmailDisplayName">
    <vt:lpwstr>Аристова Вера Борисовна</vt:lpwstr>
  </property>
  <property fmtid="{D5CDD505-2E9C-101B-9397-08002B2CF9AE}" pid="7" name="_ReviewingToolsShownOnce">
    <vt:lpwstr/>
  </property>
</Properties>
</file>